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pacing w:val="-6"/>
          <w:sz w:val="44"/>
          <w:szCs w:val="44"/>
        </w:rPr>
      </w:pPr>
      <w:r>
        <w:rPr>
          <w:rFonts w:eastAsia="方正小标宋简体"/>
          <w:spacing w:val="-6"/>
          <w:sz w:val="44"/>
          <w:szCs w:val="44"/>
        </w:rPr>
        <w:t>张家港市民政局2020年度政府信息公开年度报告</w:t>
      </w:r>
    </w:p>
    <w:p>
      <w:pPr>
        <w:adjustRightInd w:val="0"/>
        <w:snapToGrid w:val="0"/>
        <w:spacing w:line="560" w:lineRule="exact"/>
        <w:ind w:firstLine="640" w:firstLineChars="200"/>
        <w:rPr>
          <w:rFonts w:eastAsia="仿宋_GB2312"/>
          <w:sz w:val="32"/>
        </w:rPr>
      </w:pPr>
    </w:p>
    <w:p>
      <w:pPr>
        <w:pStyle w:val="5"/>
        <w:widowControl/>
        <w:spacing w:beforeAutospacing="0" w:afterAutospacing="0" w:line="560" w:lineRule="exact"/>
        <w:ind w:firstLine="640" w:firstLineChars="200"/>
        <w:jc w:val="both"/>
        <w:rPr>
          <w:rFonts w:eastAsia="仿宋_GB2312"/>
          <w:sz w:val="32"/>
          <w:szCs w:val="32"/>
        </w:rPr>
      </w:pPr>
      <w:r>
        <w:rPr>
          <w:rFonts w:hint="eastAsia" w:eastAsia="仿宋_GB2312"/>
          <w:kern w:val="2"/>
          <w:sz w:val="32"/>
        </w:rPr>
        <w:t>根据《中华人民共和国政府信息公开条例》（国务院令第</w:t>
      </w:r>
      <w:r>
        <w:rPr>
          <w:rFonts w:eastAsia="仿宋_GB2312"/>
          <w:kern w:val="2"/>
          <w:sz w:val="32"/>
        </w:rPr>
        <w:t>711</w:t>
      </w:r>
      <w:r>
        <w:rPr>
          <w:rFonts w:hint="eastAsia" w:eastAsia="仿宋_GB2312"/>
          <w:kern w:val="2"/>
          <w:sz w:val="32"/>
        </w:rPr>
        <w:t>号）规定和国务院办公厅政府信息与政务公开办公室《关于政府信息公开工作年度报告有关事项的通知》（国办公开办函〔</w:t>
      </w:r>
      <w:r>
        <w:rPr>
          <w:rFonts w:eastAsia="仿宋_GB2312"/>
          <w:kern w:val="2"/>
          <w:sz w:val="32"/>
        </w:rPr>
        <w:t>2019</w:t>
      </w:r>
      <w:r>
        <w:rPr>
          <w:rFonts w:hint="eastAsia" w:eastAsia="仿宋_GB2312"/>
          <w:kern w:val="2"/>
          <w:sz w:val="32"/>
        </w:rPr>
        <w:t>〕</w:t>
      </w:r>
      <w:r>
        <w:rPr>
          <w:rFonts w:eastAsia="仿宋_GB2312"/>
          <w:kern w:val="2"/>
          <w:sz w:val="32"/>
        </w:rPr>
        <w:t>60</w:t>
      </w:r>
      <w:r>
        <w:rPr>
          <w:rFonts w:hint="eastAsia" w:eastAsia="仿宋_GB2312"/>
          <w:kern w:val="2"/>
          <w:sz w:val="32"/>
        </w:rPr>
        <w:t>号）要求，现发布《张家港市民政局</w:t>
      </w:r>
      <w:r>
        <w:rPr>
          <w:rFonts w:eastAsia="仿宋_GB2312"/>
          <w:kern w:val="2"/>
          <w:sz w:val="32"/>
        </w:rPr>
        <w:t>20</w:t>
      </w:r>
      <w:r>
        <w:rPr>
          <w:rFonts w:hint="eastAsia" w:eastAsia="仿宋_GB2312"/>
          <w:kern w:val="2"/>
          <w:sz w:val="32"/>
        </w:rPr>
        <w:t>20年政府信息公开工作年度报告》。</w:t>
      </w:r>
      <w:r>
        <w:rPr>
          <w:rFonts w:eastAsia="仿宋_GB2312"/>
          <w:kern w:val="2"/>
          <w:sz w:val="32"/>
        </w:rPr>
        <w:t>本报告数据统计期限自2020年1月1日起至2020年12月31日止。如对本报告有异议，请与张家港市民政局办公室联系（地址：张家港市</w:t>
      </w:r>
      <w:r>
        <w:rPr>
          <w:rFonts w:eastAsia="仿宋_GB2312"/>
          <w:spacing w:val="-6"/>
          <w:kern w:val="2"/>
          <w:sz w:val="32"/>
        </w:rPr>
        <w:t>华昌路3号港城大厦916，邮编215600，电话：0512-58616750）</w:t>
      </w:r>
      <w:r>
        <w:rPr>
          <w:rFonts w:hint="eastAsia" w:eastAsia="仿宋_GB2312"/>
          <w:spacing w:val="-6"/>
          <w:kern w:val="2"/>
          <w:sz w:val="32"/>
        </w:rPr>
        <w:t>。</w:t>
      </w:r>
    </w:p>
    <w:p>
      <w:pPr>
        <w:pStyle w:val="5"/>
        <w:widowControl/>
        <w:spacing w:beforeAutospacing="0" w:afterAutospacing="0" w:line="560" w:lineRule="exact"/>
        <w:ind w:firstLine="582"/>
        <w:jc w:val="both"/>
        <w:rPr>
          <w:sz w:val="32"/>
          <w:szCs w:val="32"/>
        </w:rPr>
      </w:pPr>
      <w:r>
        <w:rPr>
          <w:rFonts w:eastAsia="黑体"/>
          <w:color w:val="000000"/>
          <w:sz w:val="32"/>
          <w:szCs w:val="32"/>
        </w:rPr>
        <w:t>一、总体情况</w:t>
      </w:r>
    </w:p>
    <w:p>
      <w:pPr>
        <w:adjustRightInd w:val="0"/>
        <w:snapToGrid w:val="0"/>
        <w:spacing w:line="560" w:lineRule="exact"/>
        <w:ind w:firstLine="640" w:firstLineChars="200"/>
        <w:rPr>
          <w:rFonts w:eastAsia="仿宋_GB2312"/>
          <w:sz w:val="32"/>
        </w:rPr>
      </w:pPr>
      <w:r>
        <w:rPr>
          <w:rFonts w:hint="eastAsia" w:eastAsia="仿宋_GB2312"/>
          <w:sz w:val="32"/>
        </w:rPr>
        <w:t>2020年，</w:t>
      </w:r>
      <w:r>
        <w:rPr>
          <w:rFonts w:eastAsia="仿宋_GB2312"/>
          <w:sz w:val="32"/>
        </w:rPr>
        <w:t>市民政局坚持以公开为常态、不公开为例外，重点推进民政业务和管理服务信息公开，深入开展政策解读和工作宣传，推动民政工作更加公开透明。</w:t>
      </w:r>
    </w:p>
    <w:p>
      <w:pPr>
        <w:adjustRightInd w:val="0"/>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（一）加强政府信息管理</w:t>
      </w:r>
    </w:p>
    <w:p>
      <w:pPr>
        <w:adjustRightInd w:val="0"/>
        <w:snapToGrid w:val="0"/>
        <w:spacing w:line="560" w:lineRule="exact"/>
        <w:ind w:firstLine="640" w:firstLineChars="200"/>
        <w:rPr>
          <w:rFonts w:eastAsia="仿宋_GB2312"/>
          <w:sz w:val="32"/>
          <w:szCs w:val="32"/>
        </w:rPr>
      </w:pPr>
      <w:r>
        <w:rPr>
          <w:rFonts w:hint="eastAsia" w:eastAsia="仿宋_GB2312"/>
          <w:sz w:val="32"/>
          <w:szCs w:val="32"/>
        </w:rPr>
        <w:t>根据市政府部署要求，按照《民政部办公厅关于印发社会救助和养老服务领域基层政务公开标准指引的通知》，编制我市社会救助和养老服务领域政务公开标准化目录，对 7项社会救助业务、10项养老服务</w:t>
      </w:r>
      <w:r>
        <w:rPr>
          <w:rFonts w:hint="eastAsia" w:eastAsia="仿宋_GB2312"/>
          <w:sz w:val="32"/>
          <w:szCs w:val="32"/>
          <w:lang w:val="en-US" w:eastAsia="zh-CN"/>
        </w:rPr>
        <w:t>业务</w:t>
      </w:r>
      <w:r>
        <w:rPr>
          <w:rFonts w:hint="eastAsia" w:eastAsia="仿宋_GB2312"/>
          <w:sz w:val="32"/>
          <w:szCs w:val="32"/>
        </w:rPr>
        <w:t>公开要素进行全面梳理。组织开展</w:t>
      </w:r>
      <w:r>
        <w:rPr>
          <w:rFonts w:hint="eastAsia" w:eastAsia="仿宋_GB2312"/>
          <w:sz w:val="32"/>
          <w:szCs w:val="32"/>
          <w:lang w:val="en-US" w:eastAsia="zh-CN"/>
        </w:rPr>
        <w:t>局系统</w:t>
      </w:r>
      <w:r>
        <w:rPr>
          <w:rFonts w:hint="eastAsia" w:eastAsia="仿宋_GB2312"/>
          <w:sz w:val="32"/>
          <w:szCs w:val="32"/>
        </w:rPr>
        <w:t>政府信息公开平台培训，明确公开时限和内容，提升政务公开能力和水平。</w:t>
      </w:r>
    </w:p>
    <w:p>
      <w:pPr>
        <w:adjustRightInd w:val="0"/>
        <w:snapToGrid w:val="0"/>
        <w:spacing w:line="560" w:lineRule="exact"/>
        <w:ind w:firstLine="643" w:firstLineChars="200"/>
        <w:rPr>
          <w:rFonts w:hint="eastAsia" w:ascii="楷体_GB2312" w:hAnsi="楷体_GB2312" w:eastAsia="楷体_GB2312" w:cs="楷体_GB2312"/>
          <w:b/>
          <w:bCs/>
          <w:sz w:val="32"/>
          <w:szCs w:val="32"/>
        </w:rPr>
      </w:pPr>
    </w:p>
    <w:p>
      <w:pPr>
        <w:adjustRightInd w:val="0"/>
        <w:snapToGrid w:val="0"/>
        <w:spacing w:line="560" w:lineRule="exact"/>
        <w:ind w:firstLine="643" w:firstLineChars="200"/>
        <w:rPr>
          <w:rFonts w:hint="eastAsia" w:ascii="楷体_GB2312" w:hAnsi="楷体_GB2312" w:eastAsia="楷体_GB2312" w:cs="楷体_GB2312"/>
          <w:b/>
          <w:bCs/>
          <w:sz w:val="32"/>
          <w:szCs w:val="32"/>
        </w:rPr>
      </w:pPr>
    </w:p>
    <w:p>
      <w:pPr>
        <w:adjustRightInd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（二）主动公开情况</w:t>
      </w:r>
    </w:p>
    <w:p>
      <w:pPr>
        <w:adjustRightInd w:val="0"/>
        <w:snapToGrid w:val="0"/>
        <w:spacing w:line="560" w:lineRule="exact"/>
        <w:ind w:firstLine="643" w:firstLineChars="200"/>
        <w:rPr>
          <w:rFonts w:eastAsia="仿宋_GB2312"/>
          <w:sz w:val="32"/>
          <w:szCs w:val="32"/>
        </w:rPr>
      </w:pPr>
      <w:r>
        <w:rPr>
          <w:rFonts w:hint="eastAsia" w:ascii="仿宋_GB2312" w:hAnsi="仿宋_GB2312" w:eastAsia="仿宋_GB2312" w:cs="仿宋_GB2312"/>
          <w:b/>
          <w:bCs/>
          <w:sz w:val="32"/>
          <w:szCs w:val="32"/>
        </w:rPr>
        <w:t>一是做好重点领域公开。</w:t>
      </w:r>
      <w:r>
        <w:rPr>
          <w:rFonts w:eastAsia="仿宋_GB2312"/>
          <w:sz w:val="32"/>
          <w:szCs w:val="32"/>
        </w:rPr>
        <w:t>全年公开低保、特困、临时救助等救助对象发放标准、发放统计信息99条；公开社会组织登记、年检年报、评估检查等信息123条；发布老年人口、养老机构及养老床位情况，公开虚拟养老院援助对象标准、办理程序、服务项目及价格</w:t>
      </w:r>
      <w:r>
        <w:rPr>
          <w:rFonts w:hint="eastAsia" w:eastAsia="仿宋_GB2312"/>
          <w:sz w:val="32"/>
          <w:szCs w:val="32"/>
        </w:rPr>
        <w:t>；及时公开金港镇行政区划变更重大行政决策草案，广泛征求市民意见。</w:t>
      </w:r>
    </w:p>
    <w:p>
      <w:pPr>
        <w:adjustRightInd w:val="0"/>
        <w:snapToGrid w:val="0"/>
        <w:spacing w:line="560" w:lineRule="exact"/>
        <w:ind w:firstLine="643" w:firstLineChars="200"/>
        <w:rPr>
          <w:rFonts w:eastAsia="仿宋_GB2312"/>
          <w:sz w:val="32"/>
          <w:szCs w:val="32"/>
        </w:rPr>
      </w:pPr>
      <w:r>
        <w:rPr>
          <w:rFonts w:hint="eastAsia" w:ascii="仿宋_GB2312" w:hAnsi="仿宋_GB2312" w:eastAsia="仿宋_GB2312" w:cs="仿宋_GB2312"/>
          <w:b/>
          <w:bCs/>
          <w:sz w:val="32"/>
          <w:szCs w:val="32"/>
        </w:rPr>
        <w:t>二是进一步加强政策解读工作。</w:t>
      </w:r>
      <w:r>
        <w:rPr>
          <w:rFonts w:hint="eastAsia" w:eastAsia="仿宋_GB2312"/>
          <w:sz w:val="32"/>
          <w:szCs w:val="32"/>
        </w:rPr>
        <w:t>严格按照《张家港市行政机关政策文件解读实施办法》（张政办〔</w:t>
      </w:r>
      <w:r>
        <w:rPr>
          <w:rFonts w:eastAsia="仿宋_GB2312"/>
          <w:sz w:val="32"/>
          <w:szCs w:val="32"/>
        </w:rPr>
        <w:t>2017</w:t>
      </w:r>
      <w:r>
        <w:rPr>
          <w:rFonts w:hint="eastAsia" w:eastAsia="仿宋_GB2312"/>
          <w:sz w:val="32"/>
          <w:szCs w:val="32"/>
        </w:rPr>
        <w:t>〕</w:t>
      </w:r>
      <w:r>
        <w:rPr>
          <w:rFonts w:eastAsia="仿宋_GB2312"/>
          <w:sz w:val="32"/>
          <w:szCs w:val="32"/>
        </w:rPr>
        <w:t>57</w:t>
      </w:r>
      <w:r>
        <w:rPr>
          <w:rFonts w:hint="eastAsia" w:eastAsia="仿宋_GB2312"/>
          <w:sz w:val="32"/>
          <w:szCs w:val="32"/>
        </w:rPr>
        <w:t>号）规定，政策文件制定与材料解读同步组织。全年公布政策文件15个，发布文字解读23个，政策图解7个，政策法规相关报道45篇。</w:t>
      </w:r>
    </w:p>
    <w:p>
      <w:pPr>
        <w:adjustRightInd w:val="0"/>
        <w:snapToGrid w:val="0"/>
        <w:spacing w:line="560" w:lineRule="exact"/>
        <w:ind w:firstLine="643" w:firstLineChars="200"/>
        <w:rPr>
          <w:rFonts w:eastAsia="仿宋_GB2312"/>
          <w:sz w:val="32"/>
          <w:szCs w:val="32"/>
        </w:rPr>
      </w:pPr>
      <w:r>
        <w:rPr>
          <w:rFonts w:hint="eastAsia" w:ascii="仿宋_GB2312" w:hAnsi="仿宋_GB2312" w:eastAsia="仿宋_GB2312" w:cs="仿宋_GB2312"/>
          <w:b/>
          <w:bCs/>
          <w:sz w:val="32"/>
          <w:szCs w:val="32"/>
        </w:rPr>
        <w:t>三是推进民政工作管理服务信息公开。</w:t>
      </w:r>
      <w:r>
        <w:rPr>
          <w:rFonts w:eastAsia="仿宋_GB2312"/>
          <w:sz w:val="32"/>
          <w:szCs w:val="32"/>
        </w:rPr>
        <w:t>在江苏政务服务网</w:t>
      </w:r>
      <w:r>
        <w:rPr>
          <w:rFonts w:hint="eastAsia" w:eastAsia="仿宋_GB2312"/>
          <w:sz w:val="32"/>
          <w:szCs w:val="32"/>
        </w:rPr>
        <w:t>公开</w:t>
      </w:r>
      <w:r>
        <w:rPr>
          <w:rFonts w:eastAsia="仿宋_GB2312"/>
          <w:sz w:val="32"/>
          <w:szCs w:val="32"/>
        </w:rPr>
        <w:t>权责清单、事项目录、办事指南等政务服务要素</w:t>
      </w:r>
      <w:r>
        <w:rPr>
          <w:rFonts w:hint="eastAsia" w:eastAsia="仿宋_GB2312"/>
          <w:sz w:val="32"/>
          <w:szCs w:val="32"/>
        </w:rPr>
        <w:t>，</w:t>
      </w:r>
      <w:r>
        <w:rPr>
          <w:rFonts w:eastAsia="仿宋_GB2312"/>
          <w:sz w:val="32"/>
          <w:szCs w:val="32"/>
        </w:rPr>
        <w:t>公开行政许可、行政处罚、行政给付等7类120项权力事项</w:t>
      </w:r>
      <w:r>
        <w:rPr>
          <w:rFonts w:hint="eastAsia" w:eastAsia="仿宋_GB2312"/>
          <w:sz w:val="32"/>
          <w:szCs w:val="32"/>
        </w:rPr>
        <w:t>。严格</w:t>
      </w:r>
      <w:r>
        <w:rPr>
          <w:rFonts w:eastAsia="仿宋_GB2312"/>
          <w:sz w:val="32"/>
          <w:szCs w:val="32"/>
        </w:rPr>
        <w:t>实施行政许可和行政处罚信用信息双公示制度，全年公示行政许可</w:t>
      </w:r>
      <w:r>
        <w:rPr>
          <w:rFonts w:hint="eastAsia" w:eastAsia="仿宋_GB2312"/>
          <w:sz w:val="32"/>
          <w:szCs w:val="32"/>
        </w:rPr>
        <w:t>信息</w:t>
      </w:r>
      <w:r>
        <w:rPr>
          <w:rFonts w:eastAsia="仿宋_GB2312"/>
          <w:sz w:val="32"/>
          <w:szCs w:val="32"/>
        </w:rPr>
        <w:t>515个、行政处罚</w:t>
      </w:r>
      <w:r>
        <w:rPr>
          <w:rFonts w:hint="eastAsia" w:eastAsia="仿宋_GB2312"/>
          <w:sz w:val="32"/>
          <w:szCs w:val="32"/>
        </w:rPr>
        <w:t>信息</w:t>
      </w:r>
      <w:r>
        <w:rPr>
          <w:rFonts w:eastAsia="仿宋_GB2312"/>
          <w:sz w:val="32"/>
          <w:szCs w:val="32"/>
        </w:rPr>
        <w:t>11个。</w:t>
      </w:r>
      <w:r>
        <w:rPr>
          <w:rFonts w:hint="eastAsia" w:eastAsia="仿宋_GB2312"/>
          <w:sz w:val="32"/>
          <w:szCs w:val="32"/>
        </w:rPr>
        <w:t>持续做好老年人、儿童、残疾人、低保户等服务对象常见问题解答。</w:t>
      </w:r>
    </w:p>
    <w:p>
      <w:pPr>
        <w:numPr>
          <w:ilvl w:val="0"/>
          <w:numId w:val="1"/>
        </w:numPr>
        <w:adjustRightInd w:val="0"/>
        <w:snapToGrid w:val="0"/>
        <w:spacing w:line="560" w:lineRule="exact"/>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依申请公开办理情况</w:t>
      </w:r>
    </w:p>
    <w:p>
      <w:pPr>
        <w:adjustRightInd w:val="0"/>
        <w:snapToGrid w:val="0"/>
        <w:spacing w:line="560" w:lineRule="exact"/>
        <w:ind w:firstLine="640" w:firstLineChars="200"/>
        <w:rPr>
          <w:rFonts w:eastAsia="仿宋_GB2312"/>
          <w:sz w:val="32"/>
          <w:szCs w:val="32"/>
        </w:rPr>
      </w:pPr>
      <w:r>
        <w:rPr>
          <w:rFonts w:eastAsia="仿宋_GB2312"/>
          <w:sz w:val="32"/>
          <w:szCs w:val="32"/>
        </w:rPr>
        <w:t>20</w:t>
      </w:r>
      <w:r>
        <w:rPr>
          <w:rFonts w:hint="eastAsia" w:eastAsia="仿宋_GB2312"/>
          <w:sz w:val="32"/>
          <w:szCs w:val="32"/>
        </w:rPr>
        <w:t>20</w:t>
      </w:r>
      <w:r>
        <w:rPr>
          <w:rFonts w:eastAsia="仿宋_GB2312"/>
          <w:sz w:val="32"/>
          <w:szCs w:val="32"/>
        </w:rPr>
        <w:t>年我局</w:t>
      </w:r>
      <w:r>
        <w:rPr>
          <w:rFonts w:hint="eastAsia" w:eastAsia="仿宋_GB2312"/>
          <w:sz w:val="32"/>
          <w:szCs w:val="32"/>
        </w:rPr>
        <w:t>共收到</w:t>
      </w:r>
      <w:r>
        <w:rPr>
          <w:rFonts w:eastAsia="仿宋_GB2312"/>
          <w:sz w:val="32"/>
          <w:szCs w:val="32"/>
        </w:rPr>
        <w:t>政府信息公开申请2件</w:t>
      </w:r>
      <w:r>
        <w:rPr>
          <w:rFonts w:hint="eastAsia" w:eastAsia="仿宋_GB2312"/>
          <w:sz w:val="32"/>
          <w:szCs w:val="32"/>
        </w:rPr>
        <w:t>（含2019年结转1件）</w:t>
      </w:r>
      <w:r>
        <w:rPr>
          <w:rFonts w:eastAsia="仿宋_GB2312"/>
          <w:sz w:val="32"/>
          <w:szCs w:val="32"/>
        </w:rPr>
        <w:t>，</w:t>
      </w:r>
      <w:r>
        <w:rPr>
          <w:rFonts w:hint="eastAsia" w:eastAsia="仿宋_GB2312"/>
          <w:sz w:val="32"/>
          <w:szCs w:val="32"/>
        </w:rPr>
        <w:t>涉及社会救助、婚姻登记</w:t>
      </w:r>
      <w:r>
        <w:rPr>
          <w:rFonts w:hint="eastAsia" w:eastAsia="仿宋_GB2312"/>
          <w:sz w:val="32"/>
          <w:szCs w:val="32"/>
          <w:lang w:val="en-US" w:eastAsia="zh-CN"/>
        </w:rPr>
        <w:t>领域</w:t>
      </w:r>
      <w:r>
        <w:rPr>
          <w:rFonts w:hint="eastAsia" w:eastAsia="仿宋_GB2312"/>
          <w:sz w:val="32"/>
          <w:szCs w:val="32"/>
        </w:rPr>
        <w:t>，2件均已办结。</w:t>
      </w:r>
      <w:r>
        <w:rPr>
          <w:rFonts w:eastAsia="仿宋_GB2312"/>
          <w:sz w:val="32"/>
          <w:szCs w:val="32"/>
        </w:rPr>
        <w:t>未发生针对本部门有关政府信息公开事务的行政复议案、行政诉讼案。</w:t>
      </w:r>
    </w:p>
    <w:p>
      <w:pPr>
        <w:adjustRightInd w:val="0"/>
        <w:snapToGrid w:val="0"/>
        <w:spacing w:line="560" w:lineRule="exact"/>
        <w:ind w:firstLine="640" w:firstLineChars="200"/>
        <w:rPr>
          <w:rFonts w:eastAsia="仿宋_GB2312"/>
          <w:sz w:val="32"/>
          <w:szCs w:val="32"/>
        </w:rPr>
      </w:pPr>
    </w:p>
    <w:p>
      <w:pPr>
        <w:spacing w:line="580" w:lineRule="exact"/>
        <w:ind w:firstLine="640" w:firstLineChars="200"/>
        <w:jc w:val="left"/>
        <w:rPr>
          <w:rFonts w:ascii="黑体" w:hAnsi="黑体" w:eastAsia="黑体" w:cs="黑体"/>
          <w:color w:val="000000"/>
          <w:sz w:val="32"/>
          <w:szCs w:val="32"/>
        </w:rPr>
      </w:pPr>
      <w:r>
        <w:rPr>
          <w:rFonts w:hint="eastAsia" w:eastAsia="黑体"/>
          <w:sz w:val="32"/>
          <w:szCs w:val="32"/>
        </w:rPr>
        <w:t>二、</w:t>
      </w:r>
      <w:r>
        <w:rPr>
          <w:rFonts w:eastAsia="黑体"/>
          <w:sz w:val="32"/>
          <w:szCs w:val="32"/>
        </w:rPr>
        <w:t>主动公开政府信息情况</w:t>
      </w:r>
    </w:p>
    <w:tbl>
      <w:tblPr>
        <w:tblStyle w:val="6"/>
        <w:tblW w:w="8522" w:type="dxa"/>
        <w:jc w:val="center"/>
        <w:tblLayout w:type="autofit"/>
        <w:tblCellMar>
          <w:top w:w="0" w:type="dxa"/>
          <w:left w:w="0" w:type="dxa"/>
          <w:bottom w:w="0" w:type="dxa"/>
          <w:right w:w="0" w:type="dxa"/>
        </w:tblCellMar>
      </w:tblPr>
      <w:tblGrid>
        <w:gridCol w:w="2774"/>
        <w:gridCol w:w="1985"/>
        <w:gridCol w:w="1793"/>
        <w:gridCol w:w="1970"/>
      </w:tblGrid>
      <w:tr>
        <w:tblPrEx>
          <w:tblCellMar>
            <w:top w:w="0" w:type="dxa"/>
            <w:left w:w="0" w:type="dxa"/>
            <w:bottom w:w="0" w:type="dxa"/>
            <w:right w:w="0" w:type="dxa"/>
          </w:tblCellMar>
        </w:tblPrEx>
        <w:trPr>
          <w:trHeight w:val="397" w:hRule="exac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第二十条第（一）项</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信息内容</w:t>
            </w:r>
          </w:p>
        </w:tc>
        <w:tc>
          <w:tcPr>
            <w:tcW w:w="189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本年新</w:t>
            </w:r>
            <w:r>
              <w:rPr>
                <w:rFonts w:ascii="宋体" w:hAnsi="宋体" w:cs="宋体"/>
                <w:sz w:val="20"/>
                <w:szCs w:val="20"/>
              </w:rPr>
              <w:t>制作数量</w:t>
            </w:r>
          </w:p>
        </w:tc>
        <w:tc>
          <w:tcPr>
            <w:tcW w:w="17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本年新</w:t>
            </w:r>
            <w:r>
              <w:rPr>
                <w:rFonts w:ascii="宋体" w:hAnsi="宋体" w:cs="宋体"/>
                <w:sz w:val="20"/>
                <w:szCs w:val="20"/>
              </w:rPr>
              <w:t>公开数量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对外公开总数量</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规章</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c>
          <w:tcPr>
            <w:tcW w:w="17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rPr>
            </w:pPr>
            <w:r>
              <w:rPr>
                <w:sz w:val="24"/>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规范性文件</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c>
          <w:tcPr>
            <w:tcW w:w="171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sz w:val="24"/>
              </w:rPr>
            </w:pPr>
            <w:r>
              <w:rPr>
                <w:sz w:val="24"/>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hint="default" w:eastAsia="宋体"/>
                <w:sz w:val="24"/>
                <w:lang w:val="en-US" w:eastAsia="zh-CN"/>
              </w:rPr>
            </w:pPr>
            <w:r>
              <w:rPr>
                <w:rFonts w:hint="eastAsia"/>
                <w:sz w:val="24"/>
                <w:lang w:val="en-US" w:eastAsia="zh-CN"/>
              </w:rPr>
              <w:t>0</w:t>
            </w:r>
          </w:p>
        </w:tc>
      </w:tr>
      <w:tr>
        <w:tblPrEx>
          <w:tblCellMar>
            <w:top w:w="0" w:type="dxa"/>
            <w:left w:w="0" w:type="dxa"/>
            <w:bottom w:w="0" w:type="dxa"/>
            <w:right w:w="0" w:type="dxa"/>
          </w:tblCellMar>
        </w:tblPrEx>
        <w:trPr>
          <w:trHeight w:val="397" w:hRule="exac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第二十条第（五）项</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信息内容</w:t>
            </w:r>
          </w:p>
        </w:tc>
        <w:tc>
          <w:tcPr>
            <w:tcW w:w="189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上一年项目数量</w:t>
            </w:r>
          </w:p>
        </w:tc>
        <w:tc>
          <w:tcPr>
            <w:tcW w:w="17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处理决定数量</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行政许可</w:t>
            </w:r>
          </w:p>
        </w:tc>
        <w:tc>
          <w:tcPr>
            <w:tcW w:w="1896" w:type="dxa"/>
            <w:tcBorders>
              <w:top w:val="nil"/>
              <w:left w:val="nil"/>
              <w:bottom w:val="single" w:color="auto" w:sz="8" w:space="0"/>
              <w:right w:val="single" w:color="auto" w:sz="8" w:space="0"/>
            </w:tcBorders>
            <w:noWrap/>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8</w:t>
            </w:r>
          </w:p>
        </w:tc>
        <w:tc>
          <w:tcPr>
            <w:tcW w:w="17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515</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vAlign w:val="center"/>
          </w:tcPr>
          <w:p>
            <w:pPr>
              <w:widowControl/>
              <w:spacing w:line="240" w:lineRule="exact"/>
              <w:jc w:val="left"/>
              <w:rPr>
                <w:rFonts w:ascii="宋体" w:hAnsi="宋体" w:cs="宋体"/>
                <w:sz w:val="24"/>
              </w:rPr>
            </w:pPr>
            <w:r>
              <w:rPr>
                <w:rFonts w:hint="eastAsia" w:ascii="宋体" w:hAnsi="宋体" w:cs="宋体"/>
                <w:color w:val="000000"/>
                <w:sz w:val="20"/>
                <w:szCs w:val="20"/>
              </w:rPr>
              <w:t>其他对外管理服务事项</w:t>
            </w:r>
          </w:p>
        </w:tc>
        <w:tc>
          <w:tcPr>
            <w:tcW w:w="1896" w:type="dxa"/>
            <w:tcBorders>
              <w:top w:val="nil"/>
              <w:left w:val="nil"/>
              <w:bottom w:val="single" w:color="auto" w:sz="8" w:space="0"/>
              <w:right w:val="single" w:color="auto" w:sz="8" w:space="0"/>
            </w:tcBorders>
            <w:noWrap/>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14</w:t>
            </w:r>
          </w:p>
        </w:tc>
        <w:tc>
          <w:tcPr>
            <w:tcW w:w="17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+3</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9901</w:t>
            </w:r>
          </w:p>
        </w:tc>
      </w:tr>
      <w:tr>
        <w:tblPrEx>
          <w:tblCellMar>
            <w:top w:w="0" w:type="dxa"/>
            <w:left w:w="0" w:type="dxa"/>
            <w:bottom w:w="0" w:type="dxa"/>
            <w:right w:w="0" w:type="dxa"/>
          </w:tblCellMar>
        </w:tblPrEx>
        <w:trPr>
          <w:trHeight w:val="397" w:hRule="exac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第二十条第（六）项</w:t>
            </w:r>
          </w:p>
        </w:tc>
      </w:tr>
      <w:tr>
        <w:tblPrEx>
          <w:tblCellMar>
            <w:top w:w="0" w:type="dxa"/>
            <w:left w:w="0" w:type="dxa"/>
            <w:bottom w:w="0" w:type="dxa"/>
            <w:right w:w="0" w:type="dxa"/>
          </w:tblCellMar>
        </w:tblPrEx>
        <w:trPr>
          <w:trHeight w:val="392"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信息内容</w:t>
            </w:r>
          </w:p>
        </w:tc>
        <w:tc>
          <w:tcPr>
            <w:tcW w:w="1896"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上一年项目数量</w:t>
            </w:r>
          </w:p>
        </w:tc>
        <w:tc>
          <w:tcPr>
            <w:tcW w:w="171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本年增/减</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处理决定数量</w:t>
            </w:r>
          </w:p>
        </w:tc>
      </w:tr>
      <w:tr>
        <w:tblPrEx>
          <w:tblCellMar>
            <w:top w:w="0" w:type="dxa"/>
            <w:left w:w="0" w:type="dxa"/>
            <w:bottom w:w="0" w:type="dxa"/>
            <w:right w:w="0" w:type="dxa"/>
          </w:tblCellMar>
        </w:tblPrEx>
        <w:trPr>
          <w:trHeight w:val="387" w:hRule="exact"/>
          <w:jc w:val="center"/>
        </w:trPr>
        <w:tc>
          <w:tcPr>
            <w:tcW w:w="2650" w:type="dxa"/>
            <w:tcBorders>
              <w:top w:val="nil"/>
              <w:left w:val="single" w:color="auto" w:sz="8" w:space="0"/>
              <w:bottom w:val="single" w:color="auto" w:sz="8" w:space="0"/>
              <w:right w:val="single" w:color="auto" w:sz="8" w:space="0"/>
            </w:tcBorders>
            <w:noWrap/>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行政处罚</w:t>
            </w:r>
          </w:p>
        </w:tc>
        <w:tc>
          <w:tcPr>
            <w:tcW w:w="1896" w:type="dxa"/>
            <w:tcBorders>
              <w:top w:val="nil"/>
              <w:left w:val="nil"/>
              <w:bottom w:val="single" w:color="auto" w:sz="8" w:space="0"/>
              <w:right w:val="single" w:color="auto" w:sz="8" w:space="0"/>
            </w:tcBorders>
            <w:noWrap/>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77</w:t>
            </w:r>
          </w:p>
        </w:tc>
        <w:tc>
          <w:tcPr>
            <w:tcW w:w="17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-2</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11</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行政强制</w:t>
            </w:r>
          </w:p>
        </w:tc>
        <w:tc>
          <w:tcPr>
            <w:tcW w:w="1896" w:type="dxa"/>
            <w:tcBorders>
              <w:top w:val="nil"/>
              <w:left w:val="nil"/>
              <w:bottom w:val="single" w:color="auto" w:sz="8" w:space="0"/>
              <w:right w:val="single" w:color="auto" w:sz="8" w:space="0"/>
            </w:tcBorders>
            <w:noWrap/>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6</w:t>
            </w:r>
          </w:p>
        </w:tc>
        <w:tc>
          <w:tcPr>
            <w:tcW w:w="17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0</w:t>
            </w:r>
          </w:p>
        </w:tc>
        <w:tc>
          <w:tcPr>
            <w:tcW w:w="1881"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pStyle w:val="5"/>
              <w:widowControl/>
              <w:spacing w:beforeAutospacing="0" w:afterAutospacing="0" w:line="360" w:lineRule="auto"/>
              <w:jc w:val="center"/>
              <w:rPr>
                <w:rFonts w:ascii="宋体" w:hAnsi="宋体" w:cs="宋体"/>
              </w:rPr>
            </w:pPr>
            <w:r>
              <w:rPr>
                <w:rFonts w:eastAsiaTheme="minorEastAsia"/>
                <w:sz w:val="21"/>
                <w:szCs w:val="21"/>
              </w:rPr>
              <w:t>0</w:t>
            </w:r>
          </w:p>
        </w:tc>
      </w:tr>
      <w:tr>
        <w:tblPrEx>
          <w:tblCellMar>
            <w:top w:w="0" w:type="dxa"/>
            <w:left w:w="0" w:type="dxa"/>
            <w:bottom w:w="0" w:type="dxa"/>
            <w:right w:w="0" w:type="dxa"/>
          </w:tblCellMar>
        </w:tblPrEx>
        <w:trPr>
          <w:trHeight w:val="397" w:hRule="exac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第二十条第（八）项</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信息内容</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上一年项目数量</w:t>
            </w:r>
          </w:p>
        </w:tc>
        <w:tc>
          <w:tcPr>
            <w:tcW w:w="3594"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本年增/减</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left"/>
              <w:rPr>
                <w:rFonts w:ascii="宋体" w:hAnsi="宋体" w:cs="宋体"/>
                <w:sz w:val="24"/>
              </w:rPr>
            </w:pPr>
            <w:r>
              <w:rPr>
                <w:rFonts w:hint="eastAsia" w:ascii="宋体" w:hAnsi="宋体" w:cs="宋体"/>
                <w:color w:val="000000"/>
                <w:sz w:val="20"/>
                <w:szCs w:val="20"/>
              </w:rPr>
              <w:t>行政事业性收费</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c>
          <w:tcPr>
            <w:tcW w:w="3594"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r>
      <w:tr>
        <w:tblPrEx>
          <w:tblCellMar>
            <w:top w:w="0" w:type="dxa"/>
            <w:left w:w="0" w:type="dxa"/>
            <w:bottom w:w="0" w:type="dxa"/>
            <w:right w:w="0" w:type="dxa"/>
          </w:tblCellMar>
        </w:tblPrEx>
        <w:trPr>
          <w:trHeight w:val="397" w:hRule="exac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第二十条第（九）项</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信息内容</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采购项目数量</w:t>
            </w:r>
          </w:p>
        </w:tc>
        <w:tc>
          <w:tcPr>
            <w:tcW w:w="3594" w:type="dxa"/>
            <w:gridSpan w:val="2"/>
            <w:tcBorders>
              <w:top w:val="single" w:color="auto" w:sz="8" w:space="0"/>
              <w:left w:val="nil"/>
              <w:bottom w:val="single" w:color="auto" w:sz="8" w:space="0"/>
              <w:right w:val="single" w:color="000000" w:sz="8" w:space="0"/>
            </w:tcBorders>
            <w:noWrap/>
            <w:tcMar>
              <w:top w:w="0" w:type="dxa"/>
              <w:left w:w="108" w:type="dxa"/>
              <w:bottom w:w="0" w:type="dxa"/>
              <w:right w:w="108" w:type="dxa"/>
            </w:tcMar>
            <w:vAlign w:val="center"/>
          </w:tcPr>
          <w:p>
            <w:pPr>
              <w:widowControl/>
              <w:spacing w:line="240" w:lineRule="exact"/>
              <w:jc w:val="center"/>
              <w:rPr>
                <w:rFonts w:ascii="宋体" w:hAnsi="宋体" w:cs="宋体"/>
                <w:sz w:val="24"/>
              </w:rPr>
            </w:pPr>
            <w:r>
              <w:rPr>
                <w:rFonts w:hint="eastAsia" w:ascii="宋体" w:hAnsi="宋体" w:cs="宋体"/>
                <w:color w:val="000000"/>
                <w:sz w:val="20"/>
                <w:szCs w:val="20"/>
              </w:rPr>
              <w:t>采购总金额</w:t>
            </w:r>
          </w:p>
        </w:tc>
      </w:tr>
      <w:tr>
        <w:tblPrEx>
          <w:tblCellMar>
            <w:top w:w="0" w:type="dxa"/>
            <w:left w:w="0" w:type="dxa"/>
            <w:bottom w:w="0" w:type="dxa"/>
            <w:right w:w="0" w:type="dxa"/>
          </w:tblCellMar>
        </w:tblPrEx>
        <w:trPr>
          <w:trHeight w:val="397" w:hRule="exact"/>
          <w:jc w:val="center"/>
        </w:trPr>
        <w:tc>
          <w:tcPr>
            <w:tcW w:w="2650"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left"/>
              <w:rPr>
                <w:rFonts w:ascii="宋体" w:hAnsi="宋体" w:cs="宋体"/>
                <w:sz w:val="24"/>
              </w:rPr>
            </w:pPr>
            <w:r>
              <w:rPr>
                <w:rFonts w:hint="eastAsia" w:ascii="宋体" w:hAnsi="宋体" w:cs="宋体"/>
                <w:color w:val="000000"/>
                <w:sz w:val="20"/>
                <w:szCs w:val="20"/>
              </w:rPr>
              <w:t>政府集中采购</w:t>
            </w:r>
          </w:p>
        </w:tc>
        <w:tc>
          <w:tcPr>
            <w:tcW w:w="189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c>
          <w:tcPr>
            <w:tcW w:w="3594" w:type="dxa"/>
            <w:gridSpan w:val="2"/>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spacing w:line="240" w:lineRule="exact"/>
              <w:jc w:val="center"/>
              <w:rPr>
                <w:sz w:val="24"/>
              </w:rPr>
            </w:pPr>
            <w:r>
              <w:rPr>
                <w:sz w:val="24"/>
              </w:rPr>
              <w:t>0</w:t>
            </w:r>
          </w:p>
        </w:tc>
      </w:tr>
    </w:tbl>
    <w:p>
      <w:pPr>
        <w:spacing w:line="580" w:lineRule="exact"/>
        <w:jc w:val="left"/>
        <w:rPr>
          <w:rFonts w:ascii="黑体" w:hAnsi="黑体" w:eastAsia="黑体" w:cs="黑体"/>
          <w:color w:val="000000"/>
          <w:sz w:val="32"/>
          <w:szCs w:val="32"/>
        </w:rPr>
      </w:pPr>
    </w:p>
    <w:p>
      <w:pPr>
        <w:spacing w:line="580" w:lineRule="exact"/>
        <w:ind w:firstLine="640" w:firstLineChars="200"/>
        <w:jc w:val="left"/>
        <w:rPr>
          <w:rFonts w:ascii="黑体" w:hAnsi="黑体" w:eastAsia="黑体" w:cs="黑体"/>
          <w:color w:val="000000"/>
          <w:sz w:val="32"/>
          <w:szCs w:val="32"/>
        </w:rPr>
      </w:pPr>
      <w:r>
        <w:rPr>
          <w:rFonts w:hint="eastAsia" w:ascii="黑体" w:hAnsi="黑体" w:eastAsia="黑体" w:cs="黑体"/>
          <w:color w:val="000000"/>
          <w:sz w:val="32"/>
          <w:szCs w:val="32"/>
        </w:rPr>
        <w:t>三、收到和处理政府信息公开申请情况</w:t>
      </w:r>
    </w:p>
    <w:tbl>
      <w:tblPr>
        <w:tblStyle w:val="6"/>
        <w:tblW w:w="9071" w:type="dxa"/>
        <w:jc w:val="center"/>
        <w:tblLayout w:type="autofit"/>
        <w:tblCellMar>
          <w:top w:w="0" w:type="dxa"/>
          <w:left w:w="0" w:type="dxa"/>
          <w:bottom w:w="0" w:type="dxa"/>
          <w:right w:w="0" w:type="dxa"/>
        </w:tblCellMar>
      </w:tblPr>
      <w:tblGrid>
        <w:gridCol w:w="494"/>
        <w:gridCol w:w="855"/>
        <w:gridCol w:w="2272"/>
        <w:gridCol w:w="683"/>
        <w:gridCol w:w="765"/>
        <w:gridCol w:w="765"/>
        <w:gridCol w:w="825"/>
        <w:gridCol w:w="990"/>
        <w:gridCol w:w="720"/>
        <w:gridCol w:w="702"/>
      </w:tblGrid>
      <w:tr>
        <w:tblPrEx>
          <w:tblCellMar>
            <w:top w:w="0" w:type="dxa"/>
            <w:left w:w="0" w:type="dxa"/>
            <w:bottom w:w="0" w:type="dxa"/>
            <w:right w:w="0" w:type="dxa"/>
          </w:tblCellMar>
        </w:tblPrEx>
        <w:trPr>
          <w:jc w:val="center"/>
        </w:trPr>
        <w:tc>
          <w:tcPr>
            <w:tcW w:w="3621"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（本列数据的勾稽关系为：第一项加第二项之和，等于第三项加第四项之和）</w:t>
            </w:r>
          </w:p>
        </w:tc>
        <w:tc>
          <w:tcPr>
            <w:tcW w:w="5450"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申请人情况</w:t>
            </w:r>
          </w:p>
        </w:tc>
      </w:tr>
      <w:tr>
        <w:tblPrEx>
          <w:tblCellMar>
            <w:top w:w="0" w:type="dxa"/>
            <w:left w:w="0" w:type="dxa"/>
            <w:bottom w:w="0" w:type="dxa"/>
            <w:right w:w="0" w:type="dxa"/>
          </w:tblCellMar>
        </w:tblPrEx>
        <w:trPr>
          <w:jc w:val="center"/>
        </w:trPr>
        <w:tc>
          <w:tcPr>
            <w:tcW w:w="3621"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68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自然人</w:t>
            </w:r>
          </w:p>
        </w:tc>
        <w:tc>
          <w:tcPr>
            <w:tcW w:w="4065"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法人或其他组织</w:t>
            </w:r>
          </w:p>
        </w:tc>
        <w:tc>
          <w:tcPr>
            <w:tcW w:w="702"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总计</w:t>
            </w:r>
          </w:p>
        </w:tc>
      </w:tr>
      <w:tr>
        <w:tblPrEx>
          <w:tblCellMar>
            <w:top w:w="0" w:type="dxa"/>
            <w:left w:w="0" w:type="dxa"/>
            <w:bottom w:w="0" w:type="dxa"/>
            <w:right w:w="0" w:type="dxa"/>
          </w:tblCellMar>
        </w:tblPrEx>
        <w:trPr>
          <w:trHeight w:val="475" w:hRule="atLeast"/>
          <w:jc w:val="center"/>
        </w:trPr>
        <w:tc>
          <w:tcPr>
            <w:tcW w:w="3621"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683" w:type="dxa"/>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00" w:lineRule="exact"/>
              <w:jc w:val="center"/>
              <w:rPr>
                <w:rFonts w:ascii="宋体" w:hAnsi="宋体" w:cs="宋体"/>
                <w:sz w:val="24"/>
              </w:rPr>
            </w:pPr>
            <w:r>
              <w:rPr>
                <w:rFonts w:hint="eastAsia" w:ascii="宋体" w:hAnsi="宋体" w:cs="宋体"/>
                <w:sz w:val="20"/>
                <w:szCs w:val="20"/>
              </w:rPr>
              <w:t>商业企业</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00" w:lineRule="exact"/>
              <w:jc w:val="center"/>
              <w:rPr>
                <w:rFonts w:ascii="宋体" w:hAnsi="宋体" w:cs="宋体"/>
                <w:sz w:val="24"/>
              </w:rPr>
            </w:pPr>
            <w:r>
              <w:rPr>
                <w:rFonts w:hint="eastAsia" w:ascii="宋体" w:hAnsi="宋体" w:cs="宋体"/>
                <w:sz w:val="20"/>
                <w:szCs w:val="20"/>
              </w:rPr>
              <w:t>科研机构</w:t>
            </w:r>
          </w:p>
        </w:tc>
        <w:tc>
          <w:tcPr>
            <w:tcW w:w="8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00" w:lineRule="exact"/>
              <w:jc w:val="center"/>
              <w:rPr>
                <w:rFonts w:ascii="宋体" w:hAnsi="宋体" w:cs="宋体"/>
                <w:sz w:val="24"/>
              </w:rPr>
            </w:pPr>
            <w:r>
              <w:rPr>
                <w:rFonts w:hint="eastAsia" w:ascii="宋体" w:hAnsi="宋体" w:cs="宋体"/>
                <w:sz w:val="20"/>
                <w:szCs w:val="20"/>
              </w:rPr>
              <w:t>社会公益组织</w:t>
            </w:r>
          </w:p>
        </w:tc>
        <w:tc>
          <w:tcPr>
            <w:tcW w:w="99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00" w:lineRule="exact"/>
              <w:jc w:val="center"/>
              <w:rPr>
                <w:rFonts w:ascii="宋体" w:hAnsi="宋体" w:cs="宋体"/>
                <w:sz w:val="24"/>
              </w:rPr>
            </w:pPr>
            <w:r>
              <w:rPr>
                <w:rFonts w:hint="eastAsia" w:ascii="宋体" w:hAnsi="宋体" w:cs="宋体"/>
                <w:sz w:val="20"/>
                <w:szCs w:val="20"/>
              </w:rPr>
              <w:t>法律服务机构</w:t>
            </w:r>
          </w:p>
        </w:tc>
        <w:tc>
          <w:tcPr>
            <w:tcW w:w="72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宋体" w:hAnsi="宋体" w:cs="宋体"/>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r>
      <w:tr>
        <w:tblPrEx>
          <w:tblCellMar>
            <w:top w:w="0" w:type="dxa"/>
            <w:left w:w="0" w:type="dxa"/>
            <w:bottom w:w="0" w:type="dxa"/>
            <w:right w:w="0" w:type="dxa"/>
          </w:tblCellMar>
        </w:tblPrEx>
        <w:trPr>
          <w:jc w:val="center"/>
        </w:trPr>
        <w:tc>
          <w:tcPr>
            <w:tcW w:w="3621" w:type="dxa"/>
            <w:gridSpan w:val="3"/>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宋体" w:hAnsi="宋体" w:cs="宋体"/>
                <w:sz w:val="20"/>
                <w:szCs w:val="20"/>
              </w:rPr>
              <w:t>一、本年新收政府信息公开申请数量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r>
      <w:tr>
        <w:tblPrEx>
          <w:tblCellMar>
            <w:top w:w="0" w:type="dxa"/>
            <w:left w:w="0" w:type="dxa"/>
            <w:bottom w:w="0" w:type="dxa"/>
            <w:right w:w="0" w:type="dxa"/>
          </w:tblCellMar>
        </w:tblPrEx>
        <w:trPr>
          <w:jc w:val="center"/>
        </w:trPr>
        <w:tc>
          <w:tcPr>
            <w:tcW w:w="3621" w:type="dxa"/>
            <w:gridSpan w:val="3"/>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宋体" w:hAnsi="宋体" w:cs="宋体"/>
                <w:sz w:val="20"/>
                <w:szCs w:val="20"/>
              </w:rPr>
              <w:t>二、上年结转政府信息公开申请数量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r>
      <w:tr>
        <w:tblPrEx>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vAlign w:val="center"/>
          </w:tcPr>
          <w:p>
            <w:pPr>
              <w:widowControl/>
              <w:spacing w:line="260" w:lineRule="exact"/>
              <w:jc w:val="center"/>
              <w:rPr>
                <w:rFonts w:ascii="宋体" w:hAnsi="宋体" w:cs="宋体"/>
                <w:sz w:val="24"/>
              </w:rPr>
            </w:pPr>
            <w:r>
              <w:rPr>
                <w:rFonts w:hint="eastAsia" w:ascii="宋体" w:hAnsi="宋体" w:cs="宋体"/>
                <w:sz w:val="20"/>
                <w:szCs w:val="20"/>
              </w:rPr>
              <w:t>三、本年度办理结果</w:t>
            </w:r>
          </w:p>
        </w:tc>
        <w:tc>
          <w:tcPr>
            <w:tcW w:w="3127" w:type="dxa"/>
            <w:gridSpan w:val="2"/>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楷体" w:hAnsi="楷体" w:eastAsia="楷体" w:cs="宋体"/>
                <w:sz w:val="20"/>
                <w:szCs w:val="20"/>
              </w:rPr>
              <w:t>（一）予以公开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3127" w:type="dxa"/>
            <w:gridSpan w:val="2"/>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楷体" w:hAnsi="楷体" w:eastAsia="楷体" w:cs="宋体"/>
                <w:sz w:val="20"/>
                <w:szCs w:val="20"/>
              </w:rPr>
              <w:t>（二）部分公开（区分处理的，只计这一情形，不计其他情形）</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（三）不予公开</w:t>
            </w: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1.属于国家秘密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2.其他法律行政法规禁止公开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rFonts w:ascii="宋体" w:hAnsi="宋体" w:cs="宋体"/>
                <w:sz w:val="24"/>
              </w:rPr>
            </w:pPr>
            <w:r>
              <w:rPr>
                <w:rFonts w:hint="eastAsia" w:ascii="楷体" w:hAnsi="楷体" w:eastAsia="楷体" w:cs="宋体"/>
                <w:sz w:val="20"/>
                <w:szCs w:val="20"/>
              </w:rPr>
              <w:t>3.危及“三安全一稳定”</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4.保护第三方合法权益</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5.属于三类内部事务信息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6.属于四类过程性信息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7.属于行政执法案卷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8.属于行政查询事项</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（四）无法提供</w:t>
            </w: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1.本机关不掌握相关政府信息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2.没有现成信息需要另行制作</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3.补正后申请内容仍不明确</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855"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（五）不予处理</w:t>
            </w: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1.信访举报投诉类申请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2.重复申请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3.要求提供公开出版物</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4.无正当理由大量反复申请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227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left"/>
              <w:rPr>
                <w:rFonts w:ascii="宋体" w:hAnsi="宋体" w:cs="宋体"/>
                <w:sz w:val="24"/>
              </w:rPr>
            </w:pPr>
            <w:r>
              <w:rPr>
                <w:rFonts w:hint="eastAsia" w:ascii="楷体" w:hAnsi="楷体" w:eastAsia="楷体" w:cs="宋体"/>
                <w:sz w:val="20"/>
                <w:szCs w:val="20"/>
              </w:rPr>
              <w:t>5.要求行政机关确认或重新出具已获取信息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3127" w:type="dxa"/>
            <w:gridSpan w:val="2"/>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楷体" w:hAnsi="楷体" w:eastAsia="楷体" w:cs="宋体"/>
                <w:sz w:val="20"/>
                <w:szCs w:val="20"/>
              </w:rPr>
              <w:t>（六）其他处理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p>
        </w:tc>
        <w:tc>
          <w:tcPr>
            <w:tcW w:w="3127" w:type="dxa"/>
            <w:gridSpan w:val="2"/>
            <w:tcBorders>
              <w:top w:val="nil"/>
              <w:left w:val="nil"/>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楷体" w:hAnsi="楷体" w:eastAsia="楷体" w:cs="宋体"/>
                <w:sz w:val="20"/>
                <w:szCs w:val="20"/>
              </w:rPr>
              <w:t>（七）总计</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2</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2</w:t>
            </w:r>
          </w:p>
        </w:tc>
      </w:tr>
      <w:tr>
        <w:tblPrEx>
          <w:tblCellMar>
            <w:top w:w="0" w:type="dxa"/>
            <w:left w:w="0" w:type="dxa"/>
            <w:bottom w:w="0" w:type="dxa"/>
            <w:right w:w="0" w:type="dxa"/>
          </w:tblCellMar>
        </w:tblPrEx>
        <w:trPr>
          <w:jc w:val="center"/>
        </w:trPr>
        <w:tc>
          <w:tcPr>
            <w:tcW w:w="3621" w:type="dxa"/>
            <w:gridSpan w:val="3"/>
            <w:tcBorders>
              <w:top w:val="nil"/>
              <w:left w:val="single" w:color="auto" w:sz="8" w:space="0"/>
              <w:bottom w:val="single" w:color="auto" w:sz="8" w:space="0"/>
              <w:right w:val="single" w:color="auto" w:sz="8" w:space="0"/>
            </w:tcBorders>
            <w:vAlign w:val="center"/>
          </w:tcPr>
          <w:p>
            <w:pPr>
              <w:widowControl/>
              <w:spacing w:line="260" w:lineRule="exact"/>
              <w:jc w:val="left"/>
              <w:rPr>
                <w:rFonts w:ascii="宋体" w:hAnsi="宋体" w:cs="宋体"/>
                <w:sz w:val="24"/>
              </w:rPr>
            </w:pPr>
            <w:r>
              <w:rPr>
                <w:rFonts w:hint="eastAsia" w:ascii="宋体" w:hAnsi="宋体" w:cs="宋体"/>
                <w:sz w:val="20"/>
                <w:szCs w:val="20"/>
              </w:rPr>
              <w:t>四、结转下年度继续办理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6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8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99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2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spacing w:line="260" w:lineRule="exact"/>
              <w:jc w:val="center"/>
              <w:rPr>
                <w:sz w:val="24"/>
              </w:rPr>
            </w:pPr>
            <w:r>
              <w:rPr>
                <w:sz w:val="24"/>
              </w:rPr>
              <w:t>0</w:t>
            </w:r>
          </w:p>
        </w:tc>
      </w:tr>
    </w:tbl>
    <w:p>
      <w:pPr>
        <w:widowControl/>
        <w:shd w:val="clear" w:color="auto" w:fill="FFFFFF"/>
        <w:spacing w:line="58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四、政府信息公开行政复议、行政诉讼情况</w:t>
      </w:r>
    </w:p>
    <w:tbl>
      <w:tblPr>
        <w:tblStyle w:val="6"/>
        <w:tblW w:w="9071" w:type="dxa"/>
        <w:jc w:val="center"/>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行政复议</w:t>
            </w:r>
          </w:p>
        </w:tc>
        <w:tc>
          <w:tcPr>
            <w:tcW w:w="5997"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尚未审结</w:t>
            </w:r>
          </w:p>
        </w:tc>
        <w:tc>
          <w:tcPr>
            <w:tcW w:w="658"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总计</w:t>
            </w:r>
          </w:p>
        </w:tc>
        <w:tc>
          <w:tcPr>
            <w:tcW w:w="2970"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sz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cs="宋体"/>
                <w:sz w:val="24"/>
              </w:rPr>
            </w:pP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cs="宋体"/>
                <w:sz w:val="24"/>
              </w:rPr>
            </w:pPr>
            <w:r>
              <w:rPr>
                <w:rFonts w:hint="eastAsia" w:ascii="宋体" w:hAnsi="宋体" w:cs="宋体"/>
                <w:color w:val="000000"/>
                <w:sz w:val="20"/>
                <w:szCs w:val="20"/>
              </w:rPr>
              <w:t>总计</w:t>
            </w:r>
          </w:p>
        </w:tc>
      </w:tr>
      <w:tr>
        <w:tblPrEx>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58"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550"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sz w:val="24"/>
              </w:rPr>
            </w:pPr>
            <w:r>
              <w:rPr>
                <w:sz w:val="24"/>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sz w:val="24"/>
              </w:rPr>
            </w:pPr>
            <w:r>
              <w:rPr>
                <w:sz w:val="24"/>
              </w:rPr>
              <w:t>0</w:t>
            </w:r>
          </w:p>
        </w:tc>
      </w:tr>
    </w:tbl>
    <w:p>
      <w:pPr>
        <w:pStyle w:val="5"/>
        <w:widowControl/>
        <w:spacing w:beforeAutospacing="0" w:afterAutospacing="0" w:line="560" w:lineRule="exact"/>
        <w:ind w:firstLine="640" w:firstLineChars="200"/>
        <w:jc w:val="both"/>
        <w:rPr>
          <w:rFonts w:ascii="黑体" w:hAnsi="黑体" w:eastAsia="黑体" w:cs="黑体"/>
          <w:sz w:val="32"/>
          <w:szCs w:val="32"/>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eastAsia="黑体"/>
          <w:sz w:val="32"/>
          <w:szCs w:val="32"/>
        </w:rPr>
      </w:pPr>
      <w:r>
        <w:rPr>
          <w:rFonts w:eastAsia="黑体"/>
          <w:sz w:val="32"/>
          <w:szCs w:val="32"/>
        </w:rPr>
        <w:t>五、存在的主要问题及改进情况</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743"/>
        <w:jc w:val="both"/>
        <w:textAlignment w:val="auto"/>
        <w:rPr>
          <w:rFonts w:eastAsia="仿宋_GB2312"/>
          <w:sz w:val="32"/>
          <w:szCs w:val="32"/>
        </w:rPr>
      </w:pPr>
      <w:r>
        <w:rPr>
          <w:rFonts w:eastAsia="仿宋_GB2312"/>
          <w:sz w:val="32"/>
          <w:szCs w:val="32"/>
        </w:rPr>
        <w:t>2020年，我局政府信息公开工作取得了一定成绩，但仍存在一些问题。一是新媒体的信息公开力度仍需加强；二是政策解读的方式仍需多样化；三是公开信息的及时性、全面性仍需提高。</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743"/>
        <w:jc w:val="both"/>
        <w:textAlignment w:val="auto"/>
        <w:rPr>
          <w:rFonts w:eastAsia="微软雅黑"/>
          <w:color w:val="040404"/>
          <w:sz w:val="21"/>
          <w:szCs w:val="21"/>
          <w:shd w:val="clear" w:color="auto" w:fill="FFFFFF"/>
        </w:rPr>
      </w:pPr>
      <w:r>
        <w:rPr>
          <w:rFonts w:eastAsia="仿宋_GB2312"/>
          <w:sz w:val="32"/>
          <w:szCs w:val="32"/>
        </w:rPr>
        <w:t>2021年，我局将继续贯彻落实上级要求，</w:t>
      </w:r>
      <w:r>
        <w:rPr>
          <w:rFonts w:hint="eastAsia" w:eastAsia="仿宋_GB2312"/>
          <w:sz w:val="32"/>
          <w:szCs w:val="32"/>
        </w:rPr>
        <w:t>完善政府信息工作制度，不断扩大主动公开，依法及时做好依申请公开</w:t>
      </w:r>
      <w:r>
        <w:rPr>
          <w:rFonts w:eastAsia="仿宋_GB2312"/>
          <w:sz w:val="32"/>
          <w:szCs w:val="32"/>
        </w:rPr>
        <w:t>。</w:t>
      </w:r>
      <w:r>
        <w:rPr>
          <w:rFonts w:hint="eastAsia" w:eastAsia="仿宋_GB2312"/>
          <w:sz w:val="32"/>
          <w:szCs w:val="32"/>
        </w:rPr>
        <w:t>一是强化各科室政府信息主动</w:t>
      </w:r>
      <w:bookmarkStart w:id="0" w:name="_GoBack"/>
      <w:r>
        <w:rPr>
          <w:rFonts w:hint="eastAsia" w:eastAsia="仿宋_GB2312"/>
          <w:sz w:val="32"/>
          <w:szCs w:val="32"/>
        </w:rPr>
        <w:t>公开责任，</w:t>
      </w:r>
      <w:r>
        <w:rPr>
          <w:rFonts w:eastAsia="仿宋_GB2312"/>
          <w:sz w:val="32"/>
          <w:szCs w:val="32"/>
        </w:rPr>
        <w:t>抓好社会救助和养老服务领域政务公开工作，确保信息内容更新常态化、标准化。</w:t>
      </w:r>
      <w:r>
        <w:rPr>
          <w:rFonts w:hint="eastAsia" w:eastAsia="仿宋_GB2312"/>
          <w:sz w:val="32"/>
          <w:szCs w:val="32"/>
        </w:rPr>
        <w:t>二是拓宽公开渠道，充分利用新媒体、新技术</w:t>
      </w:r>
      <w:r>
        <w:rPr>
          <w:rFonts w:hint="eastAsia" w:eastAsia="仿宋_GB2312"/>
          <w:sz w:val="32"/>
          <w:szCs w:val="32"/>
          <w:lang w:eastAsia="zh-CN"/>
        </w:rPr>
        <w:t>，</w:t>
      </w:r>
      <w:r>
        <w:rPr>
          <w:rFonts w:hint="eastAsia" w:eastAsia="仿宋_GB2312"/>
          <w:sz w:val="32"/>
          <w:szCs w:val="32"/>
          <w:lang w:val="en-US" w:eastAsia="zh-CN"/>
        </w:rPr>
        <w:t>进一步拓展政务公开的广度和深度，</w:t>
      </w:r>
      <w:bookmarkEnd w:id="0"/>
      <w:r>
        <w:rPr>
          <w:rFonts w:hint="eastAsia" w:eastAsia="仿宋_GB2312"/>
          <w:sz w:val="32"/>
          <w:szCs w:val="32"/>
          <w:lang w:val="en-US" w:eastAsia="zh-CN"/>
        </w:rPr>
        <w:t>体现公开的多元性。</w:t>
      </w:r>
      <w:r>
        <w:rPr>
          <w:rFonts w:hint="eastAsia" w:eastAsia="仿宋_GB2312"/>
          <w:sz w:val="32"/>
          <w:szCs w:val="32"/>
        </w:rPr>
        <w:t>三是</w:t>
      </w:r>
      <w:r>
        <w:rPr>
          <w:rFonts w:eastAsia="仿宋_GB2312"/>
          <w:sz w:val="32"/>
          <w:szCs w:val="32"/>
        </w:rPr>
        <w:t>继续提升信息公开服务质量，加强与公众的互动交流，广泛倾听公众意见建议，接受社会批评监督，切实提升政府信息公开服务能力和水平。 　</w:t>
      </w:r>
      <w:r>
        <w:rPr>
          <w:rFonts w:eastAsia="微软雅黑"/>
          <w:color w:val="040404"/>
          <w:sz w:val="21"/>
          <w:szCs w:val="21"/>
          <w:shd w:val="clear" w:color="auto" w:fill="FFFFFF"/>
        </w:rPr>
        <w:t>　</w:t>
      </w:r>
    </w:p>
    <w:p>
      <w:pPr>
        <w:pStyle w:val="5"/>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eastAsia="黑体"/>
          <w:sz w:val="32"/>
          <w:szCs w:val="32"/>
          <w:lang w:val="en-US" w:eastAsia="zh-CN"/>
        </w:rPr>
      </w:pPr>
      <w:r>
        <w:rPr>
          <w:rFonts w:hint="eastAsia" w:eastAsia="黑体"/>
          <w:sz w:val="32"/>
          <w:szCs w:val="32"/>
          <w:lang w:val="en-US" w:eastAsia="zh-CN"/>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kern w:val="0"/>
          <w:sz w:val="32"/>
          <w:szCs w:val="32"/>
          <w:lang w:val="en-US" w:eastAsia="zh-CN" w:bidi="ar-SA"/>
        </w:rPr>
      </w:pPr>
      <w:r>
        <w:rPr>
          <w:rFonts w:hint="eastAsia" w:eastAsia="仿宋_GB2312"/>
          <w:b w:val="0"/>
          <w:bCs w:val="0"/>
          <w:sz w:val="32"/>
          <w:szCs w:val="32"/>
          <w:lang w:val="en-US" w:eastAsia="zh-CN"/>
        </w:rPr>
        <w:t>2020</w:t>
      </w:r>
      <w:r>
        <w:rPr>
          <w:rFonts w:hint="eastAsia" w:ascii="Times New Roman" w:hAnsi="Times New Roman" w:eastAsia="仿宋_GB2312" w:cs="Times New Roman"/>
          <w:kern w:val="0"/>
          <w:sz w:val="32"/>
          <w:szCs w:val="32"/>
          <w:lang w:val="en-US" w:eastAsia="zh-CN" w:bidi="ar-SA"/>
        </w:rPr>
        <w:t>年</w:t>
      </w:r>
      <w:r>
        <w:rPr>
          <w:rFonts w:hint="eastAsia"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我局共收到市人大代表建议主办件</w:t>
      </w:r>
      <w:r>
        <w:rPr>
          <w:rFonts w:hint="eastAsia" w:eastAsia="仿宋_GB2312" w:cs="Times New Roman"/>
          <w:kern w:val="0"/>
          <w:sz w:val="32"/>
          <w:szCs w:val="32"/>
          <w:lang w:val="en-US" w:eastAsia="zh-CN" w:bidi="ar-SA"/>
        </w:rPr>
        <w:t>6</w:t>
      </w:r>
      <w:r>
        <w:rPr>
          <w:rFonts w:hint="eastAsia" w:ascii="Times New Roman" w:hAnsi="Times New Roman" w:eastAsia="仿宋_GB2312" w:cs="Times New Roman"/>
          <w:kern w:val="0"/>
          <w:sz w:val="32"/>
          <w:szCs w:val="32"/>
          <w:lang w:val="en-US" w:eastAsia="zh-CN" w:bidi="ar-SA"/>
        </w:rPr>
        <w:t>件，市政协委员提案主办件</w:t>
      </w:r>
      <w:r>
        <w:rPr>
          <w:rFonts w:hint="eastAsia" w:eastAsia="仿宋_GB2312" w:cs="Times New Roman"/>
          <w:kern w:val="0"/>
          <w:sz w:val="32"/>
          <w:szCs w:val="32"/>
          <w:lang w:val="en-US" w:eastAsia="zh-CN" w:bidi="ar-SA"/>
        </w:rPr>
        <w:t>12</w:t>
      </w:r>
      <w:r>
        <w:rPr>
          <w:rFonts w:hint="eastAsia" w:ascii="Times New Roman" w:hAnsi="Times New Roman" w:eastAsia="仿宋_GB2312" w:cs="Times New Roman"/>
          <w:kern w:val="0"/>
          <w:sz w:val="32"/>
          <w:szCs w:val="32"/>
          <w:lang w:val="en-US" w:eastAsia="zh-CN" w:bidi="ar-SA"/>
        </w:rPr>
        <w:t>件</w:t>
      </w:r>
      <w:r>
        <w:rPr>
          <w:rFonts w:hint="eastAsia" w:eastAsia="仿宋_GB2312" w:cs="Times New Roman"/>
          <w:kern w:val="0"/>
          <w:sz w:val="32"/>
          <w:szCs w:val="32"/>
          <w:lang w:val="en-US" w:eastAsia="zh-CN" w:bidi="ar-SA"/>
        </w:rPr>
        <w:t>（集体</w:t>
      </w:r>
      <w:r>
        <w:rPr>
          <w:rFonts w:hint="eastAsia" w:ascii="Times New Roman" w:hAnsi="Times New Roman" w:eastAsia="仿宋_GB2312" w:cs="Times New Roman"/>
          <w:kern w:val="0"/>
          <w:sz w:val="32"/>
          <w:szCs w:val="32"/>
          <w:lang w:val="en-US" w:eastAsia="zh-CN" w:bidi="ar-SA"/>
        </w:rPr>
        <w:t>提案</w:t>
      </w:r>
      <w:r>
        <w:rPr>
          <w:rFonts w:hint="eastAsia" w:eastAsia="仿宋_GB2312" w:cs="Times New Roman"/>
          <w:kern w:val="0"/>
          <w:sz w:val="32"/>
          <w:szCs w:val="32"/>
          <w:lang w:val="en-US" w:eastAsia="zh-CN" w:bidi="ar-SA"/>
        </w:rPr>
        <w:t>3</w:t>
      </w:r>
      <w:r>
        <w:rPr>
          <w:rFonts w:hint="eastAsia" w:ascii="Times New Roman" w:hAnsi="Times New Roman" w:eastAsia="仿宋_GB2312" w:cs="Times New Roman"/>
          <w:kern w:val="0"/>
          <w:sz w:val="32"/>
          <w:szCs w:val="32"/>
          <w:lang w:val="en-US" w:eastAsia="zh-CN" w:bidi="ar-SA"/>
        </w:rPr>
        <w:t>件</w:t>
      </w:r>
      <w:r>
        <w:rPr>
          <w:rFonts w:hint="eastAsia" w:eastAsia="仿宋_GB2312" w:cs="Times New Roman"/>
          <w:kern w:val="0"/>
          <w:sz w:val="32"/>
          <w:szCs w:val="32"/>
          <w:lang w:val="en-US" w:eastAsia="zh-CN" w:bidi="ar-SA"/>
        </w:rPr>
        <w:t>），涉及养老、社会救助、社区治理、社会事务、社会工作和社会组织</w:t>
      </w:r>
      <w:r>
        <w:rPr>
          <w:rFonts w:hint="eastAsia" w:ascii="Times New Roman" w:hAnsi="Times New Roman" w:eastAsia="仿宋_GB2312" w:cs="Times New Roman"/>
          <w:kern w:val="0"/>
          <w:sz w:val="32"/>
          <w:szCs w:val="32"/>
          <w:lang w:val="en-US" w:eastAsia="zh-CN" w:bidi="ar-SA"/>
        </w:rPr>
        <w:t>等方面</w:t>
      </w:r>
      <w:r>
        <w:rPr>
          <w:rFonts w:hint="eastAsia" w:eastAsia="仿宋_GB2312" w:cs="Times New Roman"/>
          <w:kern w:val="0"/>
          <w:sz w:val="32"/>
          <w:szCs w:val="32"/>
          <w:lang w:val="en-US" w:eastAsia="zh-CN" w:bidi="ar-SA"/>
        </w:rPr>
        <w:t>，均为A类。</w:t>
      </w:r>
      <w:r>
        <w:rPr>
          <w:rFonts w:hint="eastAsia" w:ascii="Times New Roman" w:hAnsi="Times New Roman" w:eastAsia="仿宋_GB2312" w:cs="Times New Roman"/>
          <w:kern w:val="0"/>
          <w:sz w:val="32"/>
          <w:szCs w:val="32"/>
          <w:lang w:val="en-US" w:eastAsia="zh-CN" w:bidi="ar-SA"/>
        </w:rPr>
        <w:t>我局在建议提案办理过程中，</w:t>
      </w:r>
      <w:r>
        <w:rPr>
          <w:rFonts w:hint="eastAsia" w:eastAsia="仿宋_GB2312" w:cs="Times New Roman"/>
          <w:kern w:val="0"/>
          <w:sz w:val="32"/>
          <w:szCs w:val="32"/>
          <w:lang w:val="en-US" w:eastAsia="zh-CN" w:bidi="ar-SA"/>
        </w:rPr>
        <w:t>严格按照市级要求，及时完成答复，均在“张家港市人民政府网”予以公开，人大代表和政协委员对办理结果均表示满意。</w:t>
      </w:r>
    </w:p>
    <w:p>
      <w:pPr>
        <w:keepNext w:val="0"/>
        <w:keepLines w:val="0"/>
        <w:pageBreakBefore w:val="0"/>
        <w:kinsoku/>
        <w:wordWrap/>
        <w:overflowPunct/>
        <w:topLinePunct w:val="0"/>
        <w:autoSpaceDE/>
        <w:autoSpaceDN/>
        <w:bidi w:val="0"/>
        <w:adjustRightInd/>
        <w:snapToGrid/>
        <w:spacing w:line="560" w:lineRule="exact"/>
        <w:ind w:firstLine="643" w:firstLineChars="200"/>
        <w:jc w:val="right"/>
        <w:textAlignment w:val="auto"/>
        <w:rPr>
          <w:rFonts w:eastAsia="仿宋_GB2312"/>
          <w:b/>
          <w:bCs/>
          <w:sz w:val="32"/>
          <w:szCs w:val="32"/>
        </w:rPr>
      </w:pPr>
    </w:p>
    <w:p>
      <w:pPr>
        <w:keepNext w:val="0"/>
        <w:keepLines w:val="0"/>
        <w:pageBreakBefore w:val="0"/>
        <w:kinsoku/>
        <w:wordWrap/>
        <w:overflowPunct/>
        <w:topLinePunct w:val="0"/>
        <w:autoSpaceDE/>
        <w:autoSpaceDN/>
        <w:bidi w:val="0"/>
        <w:adjustRightInd/>
        <w:snapToGrid/>
        <w:spacing w:line="560" w:lineRule="exact"/>
        <w:ind w:firstLine="643" w:firstLineChars="200"/>
        <w:jc w:val="right"/>
        <w:textAlignment w:val="auto"/>
        <w:rPr>
          <w:rFonts w:eastAsia="仿宋_GB2312"/>
          <w:b/>
          <w:bCs/>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eastAsia="仿宋_GB2312"/>
          <w:sz w:val="32"/>
          <w:szCs w:val="32"/>
        </w:rPr>
      </w:pPr>
      <w:r>
        <w:rPr>
          <w:rFonts w:hint="eastAsia" w:eastAsia="仿宋_GB2312"/>
          <w:sz w:val="32"/>
          <w:szCs w:val="32"/>
        </w:rPr>
        <w:t xml:space="preserve">                        </w:t>
      </w:r>
      <w:r>
        <w:rPr>
          <w:rFonts w:eastAsia="仿宋_GB2312"/>
          <w:sz w:val="32"/>
          <w:szCs w:val="32"/>
        </w:rPr>
        <w:t>张家港市民政局</w:t>
      </w:r>
    </w:p>
    <w:p>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eastAsia="仿宋_GB2312"/>
          <w:sz w:val="32"/>
          <w:szCs w:val="32"/>
        </w:rPr>
      </w:pPr>
      <w:r>
        <w:rPr>
          <w:rFonts w:hint="eastAsia" w:eastAsia="仿宋_GB2312"/>
          <w:sz w:val="32"/>
          <w:szCs w:val="32"/>
        </w:rPr>
        <w:t xml:space="preserve">                        </w:t>
      </w:r>
      <w:r>
        <w:rPr>
          <w:rFonts w:eastAsia="仿宋_GB2312"/>
          <w:sz w:val="32"/>
          <w:szCs w:val="32"/>
        </w:rPr>
        <w:t>2021年1月20日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rPr>
                        <w:rFonts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F508C"/>
    <w:multiLevelType w:val="singleLevel"/>
    <w:tmpl w:val="65BF508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4A46DF"/>
    <w:rsid w:val="00001021"/>
    <w:rsid w:val="000107EE"/>
    <w:rsid w:val="0001645B"/>
    <w:rsid w:val="00075755"/>
    <w:rsid w:val="000943B4"/>
    <w:rsid w:val="00097DA3"/>
    <w:rsid w:val="000A4839"/>
    <w:rsid w:val="000B295B"/>
    <w:rsid w:val="000C4C93"/>
    <w:rsid w:val="001335A8"/>
    <w:rsid w:val="00147364"/>
    <w:rsid w:val="00153A20"/>
    <w:rsid w:val="00176E1E"/>
    <w:rsid w:val="0019102F"/>
    <w:rsid w:val="001E4DDB"/>
    <w:rsid w:val="0020345F"/>
    <w:rsid w:val="00232A44"/>
    <w:rsid w:val="00242AA4"/>
    <w:rsid w:val="00264A96"/>
    <w:rsid w:val="002B5931"/>
    <w:rsid w:val="002E470A"/>
    <w:rsid w:val="0030490E"/>
    <w:rsid w:val="003065AB"/>
    <w:rsid w:val="00322EC5"/>
    <w:rsid w:val="00333135"/>
    <w:rsid w:val="00365EEC"/>
    <w:rsid w:val="00373867"/>
    <w:rsid w:val="003811F3"/>
    <w:rsid w:val="0038369F"/>
    <w:rsid w:val="00396056"/>
    <w:rsid w:val="003A26E8"/>
    <w:rsid w:val="003B0745"/>
    <w:rsid w:val="0040244D"/>
    <w:rsid w:val="00452BEF"/>
    <w:rsid w:val="00476F15"/>
    <w:rsid w:val="004A16F6"/>
    <w:rsid w:val="004A35D6"/>
    <w:rsid w:val="004B55E5"/>
    <w:rsid w:val="00512B52"/>
    <w:rsid w:val="0051679C"/>
    <w:rsid w:val="00546B3C"/>
    <w:rsid w:val="0055048E"/>
    <w:rsid w:val="00556278"/>
    <w:rsid w:val="0057484A"/>
    <w:rsid w:val="00586B68"/>
    <w:rsid w:val="005923A3"/>
    <w:rsid w:val="005F27BC"/>
    <w:rsid w:val="005F6F35"/>
    <w:rsid w:val="006061AA"/>
    <w:rsid w:val="00631876"/>
    <w:rsid w:val="00705BD1"/>
    <w:rsid w:val="00714CA9"/>
    <w:rsid w:val="00721850"/>
    <w:rsid w:val="00752CE3"/>
    <w:rsid w:val="007560E1"/>
    <w:rsid w:val="00756CA8"/>
    <w:rsid w:val="007640D9"/>
    <w:rsid w:val="007655BF"/>
    <w:rsid w:val="007715E0"/>
    <w:rsid w:val="007741D3"/>
    <w:rsid w:val="007E1F62"/>
    <w:rsid w:val="007F70AE"/>
    <w:rsid w:val="00820D95"/>
    <w:rsid w:val="00827E36"/>
    <w:rsid w:val="00836C5E"/>
    <w:rsid w:val="00864176"/>
    <w:rsid w:val="00875265"/>
    <w:rsid w:val="008913C7"/>
    <w:rsid w:val="008A6E95"/>
    <w:rsid w:val="00903127"/>
    <w:rsid w:val="00935A35"/>
    <w:rsid w:val="009564FE"/>
    <w:rsid w:val="00987AFA"/>
    <w:rsid w:val="009907F1"/>
    <w:rsid w:val="009E32BA"/>
    <w:rsid w:val="00A63D33"/>
    <w:rsid w:val="00A83253"/>
    <w:rsid w:val="00AB058D"/>
    <w:rsid w:val="00AC2AE4"/>
    <w:rsid w:val="00AC605B"/>
    <w:rsid w:val="00B272D0"/>
    <w:rsid w:val="00B36B95"/>
    <w:rsid w:val="00B73218"/>
    <w:rsid w:val="00BB02E9"/>
    <w:rsid w:val="00BE354F"/>
    <w:rsid w:val="00C033B3"/>
    <w:rsid w:val="00C057E1"/>
    <w:rsid w:val="00C16238"/>
    <w:rsid w:val="00C32D98"/>
    <w:rsid w:val="00C54F8D"/>
    <w:rsid w:val="00C60804"/>
    <w:rsid w:val="00C76638"/>
    <w:rsid w:val="00C76FA6"/>
    <w:rsid w:val="00CA7026"/>
    <w:rsid w:val="00D01E7B"/>
    <w:rsid w:val="00D02000"/>
    <w:rsid w:val="00D15C7F"/>
    <w:rsid w:val="00D36C76"/>
    <w:rsid w:val="00D44D01"/>
    <w:rsid w:val="00D56148"/>
    <w:rsid w:val="00D96D2D"/>
    <w:rsid w:val="00DA52D8"/>
    <w:rsid w:val="00DB1A87"/>
    <w:rsid w:val="00E446AD"/>
    <w:rsid w:val="00E52AC7"/>
    <w:rsid w:val="00E9438D"/>
    <w:rsid w:val="00EA0629"/>
    <w:rsid w:val="00EA2C4D"/>
    <w:rsid w:val="00ED1B65"/>
    <w:rsid w:val="00EF28F8"/>
    <w:rsid w:val="00F13D88"/>
    <w:rsid w:val="00F406C8"/>
    <w:rsid w:val="00F9211D"/>
    <w:rsid w:val="00FC5482"/>
    <w:rsid w:val="06C662FF"/>
    <w:rsid w:val="0DF0623F"/>
    <w:rsid w:val="1B3A6BBF"/>
    <w:rsid w:val="1F516F69"/>
    <w:rsid w:val="29E11065"/>
    <w:rsid w:val="29ED31C6"/>
    <w:rsid w:val="2D5741DE"/>
    <w:rsid w:val="323C15DD"/>
    <w:rsid w:val="3BBA7216"/>
    <w:rsid w:val="3DAC6F1C"/>
    <w:rsid w:val="4CB93971"/>
    <w:rsid w:val="4D753125"/>
    <w:rsid w:val="529C5294"/>
    <w:rsid w:val="5367383E"/>
    <w:rsid w:val="64A42A20"/>
    <w:rsid w:val="71A65AA3"/>
    <w:rsid w:val="73097DDC"/>
    <w:rsid w:val="75CE68A7"/>
    <w:rsid w:val="75D31D9E"/>
    <w:rsid w:val="788A6261"/>
    <w:rsid w:val="7C4E7F18"/>
    <w:rsid w:val="7F4A4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jc w:val="left"/>
      <w:outlineLvl w:val="2"/>
    </w:pPr>
    <w:rPr>
      <w:rFonts w:hint="eastAsia" w:ascii="宋体" w:hAnsi="宋体"/>
      <w:b/>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000000"/>
      <w:u w:val="none"/>
    </w:rPr>
  </w:style>
  <w:style w:type="character" w:styleId="12">
    <w:name w:val="Emphasis"/>
    <w:basedOn w:val="8"/>
    <w:qFormat/>
    <w:uiPriority w:val="0"/>
    <w:rPr>
      <w:i/>
    </w:rPr>
  </w:style>
  <w:style w:type="character" w:styleId="13">
    <w:name w:val="Hyperlink"/>
    <w:basedOn w:val="8"/>
    <w:qFormat/>
    <w:uiPriority w:val="0"/>
    <w:rPr>
      <w:color w:val="000000"/>
      <w:u w:val="none"/>
    </w:rPr>
  </w:style>
  <w:style w:type="character" w:customStyle="1" w:styleId="14">
    <w:name w:val="first-child"/>
    <w:basedOn w:val="8"/>
    <w:qFormat/>
    <w:uiPriority w:val="0"/>
  </w:style>
  <w:style w:type="character" w:customStyle="1" w:styleId="15">
    <w:name w:val="layui-layer-tabnow"/>
    <w:basedOn w:val="8"/>
    <w:qFormat/>
    <w:uiPriority w:val="0"/>
    <w:rPr>
      <w:bdr w:val="single" w:color="CCCCCC" w:sz="6" w:space="0"/>
      <w:shd w:val="clear" w:color="auto" w:fill="FFFFFF"/>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27E3A-4F65-4885-8504-6251F3E4AAFA}">
  <ds:schemaRefs/>
</ds:datastoreItem>
</file>

<file path=docProps/app.xml><?xml version="1.0" encoding="utf-8"?>
<Properties xmlns="http://schemas.openxmlformats.org/officeDocument/2006/extended-properties" xmlns:vt="http://schemas.openxmlformats.org/officeDocument/2006/docPropsVTypes">
  <Template>Normal</Template>
  <Pages>5</Pages>
  <Words>403</Words>
  <Characters>2303</Characters>
  <Lines>19</Lines>
  <Paragraphs>5</Paragraphs>
  <TotalTime>16</TotalTime>
  <ScaleCrop>false</ScaleCrop>
  <LinksUpToDate>false</LinksUpToDate>
  <CharactersWithSpaces>2701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2021-01-20T03:06:00Z</dcterms:created>
  <dc:creator>幸福生活</dc:creator>
  <cp:lastModifiedBy>momo</cp:lastModifiedBy>
  <dcterms:modified xsi:type="dcterms:W3CDTF">2021-01-20T07:57:33Z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