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44"/>
          <w:szCs w:val="44"/>
        </w:rPr>
      </w:pPr>
      <w:r>
        <w:rPr>
          <w:rFonts w:hint="eastAsia" w:ascii="宋体" w:hAnsi="宋体"/>
          <w:b/>
          <w:sz w:val="24"/>
        </w:rPr>
        <w:t xml:space="preserve"> </w:t>
      </w:r>
      <w:r>
        <w:rPr>
          <w:rFonts w:ascii="宋体" w:hAnsi="宋体"/>
          <w:b/>
          <w:sz w:val="44"/>
          <w:szCs w:val="44"/>
        </w:rPr>
        <w:t>20</w:t>
      </w:r>
      <w:r>
        <w:rPr>
          <w:rFonts w:hint="eastAsia" w:ascii="宋体" w:hAnsi="宋体"/>
          <w:b/>
          <w:sz w:val="44"/>
          <w:szCs w:val="44"/>
        </w:rPr>
        <w:t>22</w:t>
      </w:r>
      <w:r>
        <w:rPr>
          <w:rFonts w:ascii="宋体" w:hAnsi="宋体"/>
          <w:b/>
          <w:sz w:val="44"/>
          <w:szCs w:val="44"/>
        </w:rPr>
        <w:t>年第</w:t>
      </w:r>
      <w:r>
        <w:rPr>
          <w:rFonts w:hint="eastAsia" w:ascii="宋体" w:hAnsi="宋体"/>
          <w:b/>
          <w:sz w:val="44"/>
          <w:szCs w:val="44"/>
          <w:lang w:val="en-US" w:eastAsia="zh-CN"/>
        </w:rPr>
        <w:t>四</w:t>
      </w:r>
      <w:r>
        <w:rPr>
          <w:rFonts w:ascii="宋体" w:hAnsi="宋体"/>
          <w:b/>
          <w:sz w:val="44"/>
          <w:szCs w:val="44"/>
        </w:rPr>
        <w:t>季度</w:t>
      </w:r>
      <w:r>
        <w:rPr>
          <w:rFonts w:hint="eastAsia" w:ascii="宋体" w:hAnsi="宋体"/>
          <w:b/>
          <w:sz w:val="44"/>
          <w:szCs w:val="44"/>
        </w:rPr>
        <w:t>张家港市人力资源</w:t>
      </w:r>
    </w:p>
    <w:p>
      <w:pPr>
        <w:adjustRightInd w:val="0"/>
        <w:snapToGrid w:val="0"/>
        <w:spacing w:line="360" w:lineRule="auto"/>
        <w:jc w:val="center"/>
        <w:rPr>
          <w:rFonts w:ascii="宋体" w:hAnsi="宋体"/>
          <w:b/>
          <w:sz w:val="44"/>
          <w:szCs w:val="44"/>
        </w:rPr>
      </w:pPr>
      <w:r>
        <w:rPr>
          <w:rFonts w:ascii="宋体" w:hAnsi="宋体"/>
          <w:b/>
          <w:sz w:val="44"/>
          <w:szCs w:val="44"/>
        </w:rPr>
        <w:t>市场供求状况分析</w:t>
      </w:r>
    </w:p>
    <w:p>
      <w:pPr>
        <w:adjustRightInd w:val="0"/>
        <w:snapToGrid w:val="0"/>
        <w:spacing w:line="360" w:lineRule="auto"/>
        <w:jc w:val="center"/>
        <w:rPr>
          <w:rFonts w:ascii="宋体" w:hAnsi="宋体"/>
          <w:sz w:val="24"/>
        </w:rPr>
      </w:pPr>
    </w:p>
    <w:p>
      <w:pPr>
        <w:adjustRightInd w:val="0"/>
        <w:snapToGrid w:val="0"/>
        <w:spacing w:line="360" w:lineRule="auto"/>
        <w:jc w:val="center"/>
        <w:rPr>
          <w:rFonts w:ascii="宋体" w:hAnsi="宋体"/>
          <w:sz w:val="24"/>
        </w:rPr>
      </w:pPr>
      <w:r>
        <w:rPr>
          <w:rFonts w:hint="eastAsia" w:ascii="宋体" w:hAnsi="宋体"/>
          <w:sz w:val="24"/>
        </w:rPr>
        <w:t>张家港市人力资源管理服务中心</w:t>
      </w:r>
    </w:p>
    <w:p>
      <w:pPr>
        <w:widowControl/>
        <w:spacing w:before="100" w:beforeAutospacing="1" w:after="100" w:afterAutospacing="1" w:line="360" w:lineRule="auto"/>
        <w:jc w:val="left"/>
        <w:rPr>
          <w:rFonts w:ascii="宋体" w:hAnsi="宋体" w:cs="宋体"/>
          <w:b/>
          <w:bCs/>
          <w:kern w:val="0"/>
          <w:sz w:val="24"/>
        </w:rPr>
      </w:pPr>
      <w:r>
        <w:rPr>
          <w:rFonts w:hint="eastAsia" w:ascii="宋体" w:hAnsi="宋体" w:cs="宋体"/>
          <w:b/>
          <w:bCs/>
          <w:kern w:val="0"/>
          <w:sz w:val="24"/>
        </w:rPr>
        <w:t>一、人力资源市场总体数据概况</w:t>
      </w:r>
    </w:p>
    <w:p>
      <w:pPr>
        <w:widowControl/>
        <w:spacing w:before="100" w:beforeAutospacing="1" w:after="100" w:afterAutospacing="1" w:line="360" w:lineRule="auto"/>
        <w:ind w:firstLine="480" w:firstLineChars="200"/>
        <w:jc w:val="left"/>
        <w:rPr>
          <w:rFonts w:ascii="宋体" w:hAnsi="宋体" w:cs="宋体"/>
          <w:b/>
          <w:bCs/>
          <w:kern w:val="0"/>
          <w:sz w:val="24"/>
        </w:rPr>
      </w:pPr>
      <w:r>
        <w:rPr>
          <w:rFonts w:hint="eastAsia" w:ascii="宋体" w:hAnsi="宋体" w:cs="宋体"/>
          <w:kern w:val="0"/>
          <w:sz w:val="24"/>
        </w:rPr>
        <w:t>今年</w:t>
      </w:r>
      <w:r>
        <w:rPr>
          <w:rFonts w:hint="eastAsia" w:ascii="宋体" w:hAnsi="宋体" w:cs="宋体"/>
          <w:kern w:val="0"/>
          <w:sz w:val="24"/>
          <w:lang w:val="en-US" w:eastAsia="zh-CN"/>
        </w:rPr>
        <w:t>四</w:t>
      </w:r>
      <w:r>
        <w:rPr>
          <w:rFonts w:hint="eastAsia" w:ascii="宋体" w:hAnsi="宋体" w:cs="宋体"/>
          <w:kern w:val="0"/>
          <w:sz w:val="24"/>
        </w:rPr>
        <w:t>季度，我市人力资源市场共提供岗位需求</w:t>
      </w:r>
      <w:r>
        <w:rPr>
          <w:rFonts w:hint="eastAsia" w:ascii="宋体" w:hAnsi="宋体" w:cs="宋体"/>
          <w:kern w:val="0"/>
          <w:sz w:val="24"/>
          <w:lang w:val="en-US" w:eastAsia="zh-CN"/>
        </w:rPr>
        <w:t>31412</w:t>
      </w:r>
      <w:r>
        <w:rPr>
          <w:rFonts w:hint="eastAsia" w:ascii="宋体" w:hAnsi="宋体" w:cs="宋体"/>
          <w:kern w:val="0"/>
          <w:sz w:val="24"/>
        </w:rPr>
        <w:t>个次，求职者25963人次，求人倍率为1.2</w:t>
      </w:r>
      <w:r>
        <w:rPr>
          <w:rFonts w:hint="eastAsia" w:ascii="宋体" w:hAnsi="宋体" w:cs="宋体"/>
          <w:kern w:val="0"/>
          <w:sz w:val="24"/>
          <w:lang w:val="en-US" w:eastAsia="zh-CN"/>
        </w:rPr>
        <w:t>1</w:t>
      </w:r>
      <w:r>
        <w:rPr>
          <w:rFonts w:hint="eastAsia" w:ascii="宋体" w:hAnsi="宋体" w:cs="宋体"/>
          <w:kern w:val="0"/>
          <w:sz w:val="24"/>
        </w:rPr>
        <w:t>，求人倍率较</w:t>
      </w:r>
      <w:r>
        <w:rPr>
          <w:rFonts w:hint="eastAsia" w:ascii="宋体" w:hAnsi="宋体" w:cs="宋体"/>
          <w:color w:val="auto"/>
          <w:kern w:val="0"/>
          <w:sz w:val="24"/>
          <w:highlight w:val="none"/>
        </w:rPr>
        <w:t>202</w:t>
      </w:r>
      <w:r>
        <w:rPr>
          <w:rFonts w:hint="eastAsia" w:ascii="宋体" w:hAnsi="宋体" w:cs="宋体"/>
          <w:color w:val="auto"/>
          <w:kern w:val="0"/>
          <w:sz w:val="24"/>
          <w:highlight w:val="none"/>
          <w:lang w:val="en-US" w:eastAsia="zh-CN"/>
        </w:rPr>
        <w:t>1</w:t>
      </w:r>
      <w:r>
        <w:rPr>
          <w:rFonts w:hint="eastAsia" w:ascii="宋体" w:hAnsi="宋体" w:cs="宋体"/>
          <w:kern w:val="0"/>
          <w:sz w:val="24"/>
        </w:rPr>
        <w:t>年同期</w:t>
      </w:r>
      <w:r>
        <w:rPr>
          <w:rFonts w:hint="eastAsia" w:ascii="宋体" w:hAnsi="宋体" w:cs="宋体"/>
          <w:kern w:val="0"/>
          <w:sz w:val="24"/>
          <w:lang w:val="en-US" w:eastAsia="zh-CN"/>
        </w:rPr>
        <w:t>略微下降</w:t>
      </w:r>
      <w:r>
        <w:rPr>
          <w:rFonts w:hint="eastAsia" w:ascii="宋体" w:hAnsi="宋体" w:cs="宋体"/>
          <w:kern w:val="0"/>
          <w:sz w:val="24"/>
        </w:rPr>
        <w:t>。我市人力资源市场、各镇（区）人力资源市场在开展线上招聘会、直播荐岗等云聘活动的同时陆续开展线下招聘会，本期数据主要来源于全市人力资源市场现场招聘会以及张家港市人才网站采集的供求状况信息，均为有效数据。</w:t>
      </w:r>
    </w:p>
    <w:p>
      <w:pPr>
        <w:widowControl/>
        <w:spacing w:before="100" w:beforeAutospacing="1" w:after="100" w:afterAutospacing="1" w:line="360" w:lineRule="auto"/>
        <w:jc w:val="left"/>
        <w:rPr>
          <w:rFonts w:ascii="宋体" w:hAnsi="宋体"/>
          <w:b/>
          <w:sz w:val="24"/>
        </w:rPr>
      </w:pPr>
      <w:r>
        <w:rPr>
          <w:rFonts w:hint="eastAsia" w:ascii="宋体" w:hAnsi="宋体"/>
          <w:b/>
          <w:sz w:val="24"/>
        </w:rPr>
        <w:t>二</w:t>
      </w:r>
      <w:r>
        <w:rPr>
          <w:rFonts w:ascii="宋体" w:hAnsi="宋体"/>
          <w:b/>
          <w:sz w:val="24"/>
        </w:rPr>
        <w:t>、供求总体情况</w:t>
      </w:r>
    </w:p>
    <w:p>
      <w:pPr>
        <w:spacing w:line="360" w:lineRule="auto"/>
        <w:rPr>
          <w:rFonts w:ascii="宋体" w:hAnsi="宋体" w:cs="宋体"/>
          <w:color w:val="FF0000"/>
          <w:kern w:val="0"/>
          <w:sz w:val="24"/>
        </w:rPr>
      </w:pPr>
      <w:r>
        <w:rPr>
          <w:rFonts w:hint="eastAsia" w:ascii="宋体" w:hAnsi="宋体" w:cs="宋体"/>
          <w:b/>
          <w:kern w:val="0"/>
          <w:sz w:val="24"/>
        </w:rPr>
        <w:t>（一）供求总体状况：</w:t>
      </w:r>
      <w:r>
        <w:rPr>
          <w:rFonts w:hint="eastAsia" w:ascii="宋体" w:hAnsi="宋体" w:cs="宋体"/>
          <w:kern w:val="0"/>
          <w:sz w:val="24"/>
        </w:rPr>
        <w:t>本季度需求人数</w:t>
      </w:r>
      <w:r>
        <w:rPr>
          <w:rFonts w:hint="eastAsia" w:ascii="宋体" w:hAnsi="宋体" w:cs="宋体"/>
          <w:kern w:val="0"/>
          <w:sz w:val="24"/>
          <w:lang w:val="en-US" w:eastAsia="zh-CN"/>
        </w:rPr>
        <w:t>31412</w:t>
      </w:r>
      <w:r>
        <w:rPr>
          <w:rFonts w:hint="eastAsia" w:ascii="宋体" w:hAnsi="宋体" w:cs="宋体"/>
          <w:kern w:val="0"/>
          <w:sz w:val="24"/>
        </w:rPr>
        <w:t>人，与去年同期相比减少</w:t>
      </w:r>
      <w:r>
        <w:rPr>
          <w:rFonts w:hint="eastAsia" w:ascii="宋体" w:hAnsi="宋体" w:cs="宋体"/>
          <w:kern w:val="0"/>
          <w:sz w:val="24"/>
          <w:lang w:val="en-US" w:eastAsia="zh-CN"/>
        </w:rPr>
        <w:t>7382</w:t>
      </w:r>
      <w:r>
        <w:rPr>
          <w:rFonts w:hint="eastAsia" w:ascii="宋体" w:hAnsi="宋体" w:cs="宋体"/>
          <w:kern w:val="0"/>
          <w:sz w:val="24"/>
        </w:rPr>
        <w:t>人，降幅为</w:t>
      </w:r>
      <w:r>
        <w:rPr>
          <w:rFonts w:hint="eastAsia" w:ascii="宋体" w:hAnsi="宋体" w:cs="宋体"/>
          <w:kern w:val="0"/>
          <w:sz w:val="24"/>
          <w:lang w:val="en-US" w:eastAsia="zh-CN"/>
        </w:rPr>
        <w:t>19</w:t>
      </w:r>
      <w:r>
        <w:rPr>
          <w:rFonts w:hint="eastAsia" w:ascii="宋体" w:hAnsi="宋体" w:cs="宋体"/>
          <w:kern w:val="0"/>
          <w:sz w:val="24"/>
        </w:rPr>
        <w:t>.03%。求职人数为</w:t>
      </w:r>
      <w:r>
        <w:rPr>
          <w:rFonts w:hint="eastAsia" w:ascii="宋体" w:hAnsi="宋体" w:cs="宋体"/>
          <w:kern w:val="0"/>
          <w:sz w:val="24"/>
          <w:lang w:val="en-US" w:eastAsia="zh-CN"/>
        </w:rPr>
        <w:t>25963</w:t>
      </w:r>
      <w:r>
        <w:rPr>
          <w:rFonts w:hint="eastAsia" w:ascii="宋体" w:hAnsi="宋体" w:cs="宋体"/>
          <w:kern w:val="0"/>
          <w:sz w:val="24"/>
        </w:rPr>
        <w:t>人，与去年同期相比减少</w:t>
      </w:r>
      <w:r>
        <w:rPr>
          <w:rFonts w:hint="eastAsia" w:ascii="宋体" w:hAnsi="宋体" w:cs="宋体"/>
          <w:kern w:val="0"/>
          <w:sz w:val="24"/>
          <w:lang w:val="en-US" w:eastAsia="zh-CN"/>
        </w:rPr>
        <w:t>5578</w:t>
      </w:r>
      <w:r>
        <w:rPr>
          <w:rFonts w:hint="eastAsia" w:ascii="宋体" w:hAnsi="宋体" w:cs="宋体"/>
          <w:kern w:val="0"/>
          <w:sz w:val="24"/>
        </w:rPr>
        <w:t>人，降幅为</w:t>
      </w:r>
      <w:r>
        <w:rPr>
          <w:rFonts w:hint="eastAsia" w:ascii="宋体" w:hAnsi="宋体" w:cs="宋体"/>
          <w:kern w:val="0"/>
          <w:sz w:val="24"/>
          <w:lang w:val="en-US" w:eastAsia="zh-CN"/>
        </w:rPr>
        <w:t>17</w:t>
      </w:r>
      <w:r>
        <w:rPr>
          <w:rFonts w:hint="eastAsia" w:ascii="宋体" w:hAnsi="宋体" w:cs="宋体"/>
          <w:kern w:val="0"/>
          <w:sz w:val="24"/>
        </w:rPr>
        <w:t>.</w:t>
      </w:r>
      <w:r>
        <w:rPr>
          <w:rFonts w:hint="eastAsia" w:ascii="宋体" w:hAnsi="宋体" w:cs="宋体"/>
          <w:kern w:val="0"/>
          <w:sz w:val="24"/>
          <w:lang w:val="en-US" w:eastAsia="zh-CN"/>
        </w:rPr>
        <w:t>68</w:t>
      </w:r>
      <w:r>
        <w:rPr>
          <w:rFonts w:hint="eastAsia" w:ascii="宋体" w:hAnsi="宋体" w:cs="宋体"/>
          <w:kern w:val="0"/>
          <w:sz w:val="24"/>
        </w:rPr>
        <w:t>%，本季度需求人数和求职人数比去年同期都有所下降。</w:t>
      </w:r>
    </w:p>
    <w:p>
      <w:pPr>
        <w:adjustRightInd w:val="0"/>
        <w:snapToGrid w:val="0"/>
        <w:spacing w:line="360" w:lineRule="auto"/>
        <w:jc w:val="center"/>
        <w:rPr>
          <w:rFonts w:ascii="宋体" w:hAnsi="宋体"/>
          <w:sz w:val="24"/>
        </w:rPr>
      </w:pPr>
      <w:r>
        <w:rPr>
          <w:rFonts w:hint="eastAsia" w:ascii="宋体" w:hAnsi="宋体"/>
          <w:sz w:val="24"/>
        </w:rPr>
        <w:t>表</w:t>
      </w:r>
      <w:r>
        <w:rPr>
          <w:rFonts w:ascii="宋体" w:hAnsi="宋体"/>
          <w:sz w:val="24"/>
        </w:rPr>
        <w:t>1</w:t>
      </w:r>
      <w:r>
        <w:rPr>
          <w:rFonts w:hint="eastAsia" w:ascii="宋体" w:hAnsi="宋体"/>
          <w:sz w:val="24"/>
        </w:rPr>
        <w:t>. 供求总体情况</w:t>
      </w:r>
    </w:p>
    <w:tbl>
      <w:tblPr>
        <w:tblStyle w:val="8"/>
        <w:tblW w:w="6039" w:type="dxa"/>
        <w:jc w:val="center"/>
        <w:tblInd w:w="0" w:type="dxa"/>
        <w:tblLayout w:type="fixed"/>
        <w:tblCellMar>
          <w:top w:w="0" w:type="dxa"/>
          <w:left w:w="0" w:type="dxa"/>
          <w:bottom w:w="0" w:type="dxa"/>
          <w:right w:w="0" w:type="dxa"/>
        </w:tblCellMar>
      </w:tblPr>
      <w:tblGrid>
        <w:gridCol w:w="1347"/>
        <w:gridCol w:w="1607"/>
        <w:gridCol w:w="1585"/>
        <w:gridCol w:w="1500"/>
      </w:tblGrid>
      <w:tr>
        <w:tblPrEx>
          <w:tblLayout w:type="fixed"/>
          <w:tblCellMar>
            <w:top w:w="0" w:type="dxa"/>
            <w:left w:w="0" w:type="dxa"/>
            <w:bottom w:w="0" w:type="dxa"/>
            <w:right w:w="0" w:type="dxa"/>
          </w:tblCellMar>
        </w:tblPrEx>
        <w:trPr>
          <w:trHeight w:val="820"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ind w:firstLine="420"/>
              <w:jc w:val="center"/>
              <w:rPr>
                <w:rFonts w:ascii="宋体" w:hAnsi="宋体" w:cs="宋体"/>
                <w:kern w:val="0"/>
                <w:sz w:val="24"/>
              </w:rPr>
            </w:pPr>
            <w:r>
              <w:rPr>
                <w:rFonts w:ascii="宋体" w:hAnsi="宋体" w:cs="宋体"/>
                <w:kern w:val="0"/>
                <w:sz w:val="24"/>
              </w:rPr>
              <w:t> </w:t>
            </w:r>
          </w:p>
        </w:tc>
        <w:tc>
          <w:tcPr>
            <w:tcW w:w="1607"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1585"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1500" w:type="dxa"/>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Layout w:type="fixed"/>
          <w:tblCellMar>
            <w:top w:w="0" w:type="dxa"/>
            <w:left w:w="0" w:type="dxa"/>
            <w:bottom w:w="0" w:type="dxa"/>
            <w:right w:w="0" w:type="dxa"/>
          </w:tblCellMar>
        </w:tblPrEx>
        <w:trPr>
          <w:trHeight w:val="804" w:hRule="atLeast"/>
          <w:jc w:val="center"/>
        </w:trPr>
        <w:tc>
          <w:tcPr>
            <w:tcW w:w="1347" w:type="dxa"/>
            <w:tcBorders>
              <w:top w:val="single" w:color="auto" w:sz="8" w:space="0"/>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本期</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有效数</w:t>
            </w:r>
          </w:p>
        </w:tc>
        <w:tc>
          <w:tcPr>
            <w:tcW w:w="160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31412</w:t>
            </w:r>
          </w:p>
        </w:tc>
        <w:tc>
          <w:tcPr>
            <w:tcW w:w="158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sz w:val="24"/>
              </w:rPr>
            </w:pPr>
            <w:r>
              <w:rPr>
                <w:rFonts w:hint="eastAsia"/>
                <w:sz w:val="24"/>
              </w:rPr>
              <w:t>25963</w:t>
            </w:r>
          </w:p>
        </w:tc>
        <w:tc>
          <w:tcPr>
            <w:tcW w:w="150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eastAsia="宋体"/>
                <w:sz w:val="24"/>
                <w:lang w:val="en-US" w:eastAsia="zh-CN"/>
              </w:rPr>
            </w:pPr>
            <w:r>
              <w:rPr>
                <w:rFonts w:hint="eastAsia"/>
                <w:sz w:val="24"/>
              </w:rPr>
              <w:t>1.2</w:t>
            </w:r>
            <w:r>
              <w:rPr>
                <w:rFonts w:hint="eastAsia"/>
                <w:sz w:val="24"/>
                <w:lang w:val="en-US" w:eastAsia="zh-CN"/>
              </w:rPr>
              <w:t>1</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（二）</w:t>
      </w:r>
      <w:r>
        <w:rPr>
          <w:rFonts w:ascii="宋体" w:hAnsi="宋体"/>
          <w:b/>
          <w:sz w:val="24"/>
        </w:rPr>
        <w:t>分</w:t>
      </w:r>
      <w:r>
        <w:rPr>
          <w:rFonts w:hint="eastAsia" w:ascii="宋体" w:hAnsi="宋体"/>
          <w:b/>
          <w:sz w:val="24"/>
        </w:rPr>
        <w:t>产业、</w:t>
      </w:r>
      <w:r>
        <w:rPr>
          <w:rFonts w:ascii="宋体" w:hAnsi="宋体"/>
          <w:b/>
          <w:sz w:val="24"/>
        </w:rPr>
        <w:t>行业劳动力需求</w:t>
      </w:r>
    </w:p>
    <w:p>
      <w:pPr>
        <w:spacing w:line="360" w:lineRule="auto"/>
        <w:ind w:firstLine="480" w:firstLineChars="200"/>
        <w:rPr>
          <w:rFonts w:ascii="宋体" w:hAnsi="宋体" w:cs="宋体"/>
          <w:color w:val="FF0000"/>
          <w:kern w:val="0"/>
          <w:sz w:val="24"/>
        </w:rPr>
      </w:pPr>
      <w:r>
        <w:rPr>
          <w:rFonts w:hint="eastAsia" w:ascii="宋体" w:hAnsi="宋体" w:cs="宋体"/>
          <w:kern w:val="0"/>
          <w:sz w:val="24"/>
        </w:rPr>
        <w:t>从产业分组情况看，第一产业本季度为</w:t>
      </w:r>
      <w:r>
        <w:rPr>
          <w:rFonts w:ascii="宋体" w:hAnsi="宋体" w:cs="宋体"/>
          <w:kern w:val="0"/>
          <w:sz w:val="24"/>
        </w:rPr>
        <w:t>0</w:t>
      </w:r>
      <w:r>
        <w:rPr>
          <w:rFonts w:hint="eastAsia" w:ascii="宋体" w:hAnsi="宋体" w:cs="宋体"/>
          <w:kern w:val="0"/>
          <w:sz w:val="24"/>
        </w:rPr>
        <w:t>；第二产业本季需求数为2</w:t>
      </w:r>
      <w:r>
        <w:rPr>
          <w:rFonts w:hint="eastAsia" w:ascii="宋体" w:hAnsi="宋体" w:cs="宋体"/>
          <w:kern w:val="0"/>
          <w:sz w:val="24"/>
          <w:lang w:val="en-US" w:eastAsia="zh-CN"/>
        </w:rPr>
        <w:t>1681</w:t>
      </w:r>
      <w:r>
        <w:rPr>
          <w:rFonts w:hint="eastAsia" w:ascii="宋体" w:hAnsi="宋体" w:cs="宋体"/>
          <w:kern w:val="0"/>
          <w:sz w:val="24"/>
        </w:rPr>
        <w:t>人，占总需求的69.</w:t>
      </w:r>
      <w:r>
        <w:rPr>
          <w:rFonts w:hint="eastAsia" w:ascii="宋体" w:hAnsi="宋体" w:cs="宋体"/>
          <w:kern w:val="0"/>
          <w:sz w:val="24"/>
          <w:lang w:val="en-US" w:eastAsia="zh-CN"/>
        </w:rPr>
        <w:t>02</w:t>
      </w:r>
      <w:r>
        <w:rPr>
          <w:rFonts w:hint="eastAsia" w:ascii="宋体" w:hAnsi="宋体" w:cs="宋体"/>
          <w:kern w:val="0"/>
          <w:sz w:val="24"/>
        </w:rPr>
        <w:t>%，第三产业本季需求数为</w:t>
      </w:r>
      <w:r>
        <w:rPr>
          <w:rFonts w:hint="eastAsia" w:ascii="宋体" w:hAnsi="宋体" w:cs="宋体"/>
          <w:kern w:val="0"/>
          <w:sz w:val="24"/>
          <w:lang w:val="en-US" w:eastAsia="zh-CN"/>
        </w:rPr>
        <w:t>9731</w:t>
      </w:r>
      <w:r>
        <w:rPr>
          <w:rFonts w:hint="eastAsia" w:ascii="宋体" w:hAnsi="宋体" w:cs="宋体"/>
          <w:kern w:val="0"/>
          <w:sz w:val="24"/>
        </w:rPr>
        <w:t>人，占总需求的30.</w:t>
      </w:r>
      <w:r>
        <w:rPr>
          <w:rFonts w:hint="eastAsia" w:ascii="宋体" w:hAnsi="宋体" w:cs="宋体"/>
          <w:kern w:val="0"/>
          <w:sz w:val="24"/>
          <w:lang w:val="en-US" w:eastAsia="zh-CN"/>
        </w:rPr>
        <w:t>98</w:t>
      </w:r>
      <w:r>
        <w:rPr>
          <w:rFonts w:hint="eastAsia" w:ascii="宋体" w:hAnsi="宋体" w:cs="宋体"/>
          <w:kern w:val="0"/>
          <w:sz w:val="24"/>
        </w:rPr>
        <w:t>%。</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第一产业始终为0，第二产业居人力资源市场需求的主导地位，我市用工需求主要集中在生产性企业中。</w:t>
      </w:r>
    </w:p>
    <w:p>
      <w:pPr>
        <w:adjustRightInd w:val="0"/>
        <w:snapToGrid w:val="0"/>
        <w:spacing w:line="360" w:lineRule="auto"/>
        <w:jc w:val="center"/>
        <w:rPr>
          <w:rFonts w:ascii="宋体" w:hAnsi="宋体"/>
          <w:sz w:val="24"/>
        </w:rPr>
      </w:pPr>
      <w:r>
        <w:rPr>
          <w:rFonts w:hint="eastAsia" w:ascii="宋体" w:hAnsi="宋体"/>
          <w:sz w:val="24"/>
        </w:rPr>
        <w:t>表2. 按产业分组的需求人数</w:t>
      </w:r>
    </w:p>
    <w:tbl>
      <w:tblPr>
        <w:tblStyle w:val="8"/>
        <w:tblW w:w="4330"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98"/>
        <w:gridCol w:w="1466"/>
        <w:gridCol w:w="146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产业</w:t>
            </w:r>
          </w:p>
        </w:tc>
        <w:tc>
          <w:tcPr>
            <w:tcW w:w="1466" w:type="dxa"/>
            <w:tcBorders>
              <w:top w:val="single" w:color="000000" w:sz="8" w:space="0"/>
              <w:left w:val="nil"/>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 (人)</w:t>
            </w:r>
          </w:p>
        </w:tc>
        <w:tc>
          <w:tcPr>
            <w:tcW w:w="1466" w:type="dxa"/>
            <w:tcBorders>
              <w:top w:val="single" w:color="000000" w:sz="8" w:space="0"/>
              <w:left w:val="nil"/>
              <w:bottom w:val="single" w:color="000000" w:sz="8" w:space="0"/>
              <w:right w:val="single" w:color="000000"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本季度需求所占比重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第一产业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第二产业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hint="default" w:ascii="宋体" w:hAnsi="宋体" w:eastAsia="宋体" w:cs="宋体"/>
                <w:sz w:val="24"/>
                <w:lang w:val="en-US" w:eastAsia="zh-CN"/>
              </w:rPr>
            </w:pPr>
            <w:r>
              <w:rPr>
                <w:rFonts w:hint="eastAsia"/>
                <w:sz w:val="24"/>
              </w:rPr>
              <w:t>2</w:t>
            </w:r>
            <w:r>
              <w:rPr>
                <w:rFonts w:hint="eastAsia"/>
                <w:sz w:val="24"/>
                <w:lang w:val="en-US" w:eastAsia="zh-CN"/>
              </w:rPr>
              <w:t>1681</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69.</w:t>
            </w:r>
            <w:r>
              <w:rPr>
                <w:rFonts w:hint="eastAsia"/>
                <w:sz w:val="24"/>
                <w:lang w:val="en-US" w:eastAsia="zh-CN"/>
              </w:rPr>
              <w:t>02</w:t>
            </w:r>
            <w:r>
              <w:rPr>
                <w:rFonts w:hint="eastAsia"/>
                <w:sz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第三产业</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jc w:val="center"/>
              <w:rPr>
                <w:rFonts w:hint="default" w:ascii="宋体" w:hAnsi="宋体" w:eastAsia="宋体" w:cs="宋体"/>
                <w:sz w:val="24"/>
                <w:lang w:val="en-US" w:eastAsia="zh-CN"/>
              </w:rPr>
            </w:pPr>
            <w:r>
              <w:rPr>
                <w:rFonts w:hint="eastAsia"/>
                <w:sz w:val="24"/>
                <w:lang w:val="en-US" w:eastAsia="zh-CN"/>
              </w:rPr>
              <w:t>9731</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30.</w:t>
            </w:r>
            <w:r>
              <w:rPr>
                <w:rFonts w:hint="eastAsia"/>
                <w:sz w:val="24"/>
                <w:lang w:val="en-US" w:eastAsia="zh-CN"/>
              </w:rPr>
              <w:t>98</w:t>
            </w:r>
            <w:r>
              <w:rPr>
                <w:rFonts w:hint="eastAsia"/>
                <w:sz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720" w:hRule="atLeast"/>
          <w:jc w:val="center"/>
        </w:trPr>
        <w:tc>
          <w:tcPr>
            <w:tcW w:w="1398" w:type="dxa"/>
            <w:tcBorders>
              <w:top w:val="single" w:color="000000" w:sz="8" w:space="0"/>
              <w:left w:val="single" w:color="000000" w:sz="8" w:space="0"/>
              <w:bottom w:val="single" w:color="000000"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66" w:type="dxa"/>
            <w:tcBorders>
              <w:top w:val="single" w:color="000000" w:sz="8" w:space="0"/>
              <w:left w:val="nil"/>
              <w:bottom w:val="single" w:color="000000" w:sz="8" w:space="0"/>
              <w:right w:val="single" w:color="000000" w:sz="8" w:space="0"/>
            </w:tcBorders>
            <w:shd w:val="clear" w:color="auto" w:fill="CCFFFF"/>
            <w:tcMar>
              <w:top w:w="0" w:type="dxa"/>
              <w:left w:w="108" w:type="dxa"/>
              <w:bottom w:w="0" w:type="dxa"/>
              <w:right w:w="108" w:type="dxa"/>
            </w:tcMar>
            <w:vAlign w:val="center"/>
          </w:tcPr>
          <w:p>
            <w:pPr>
              <w:tabs>
                <w:tab w:val="left" w:pos="277"/>
                <w:tab w:val="center" w:pos="685"/>
              </w:tabs>
              <w:jc w:val="left"/>
              <w:rPr>
                <w:rFonts w:hint="default" w:ascii="宋体" w:hAnsi="宋体" w:eastAsia="宋体" w:cs="宋体"/>
                <w:sz w:val="24"/>
                <w:lang w:val="en-US" w:eastAsia="zh-CN"/>
              </w:rPr>
            </w:pPr>
            <w:r>
              <w:rPr>
                <w:rFonts w:hint="eastAsia" w:ascii="宋体" w:hAnsi="宋体" w:cs="宋体"/>
                <w:sz w:val="24"/>
                <w:lang w:val="en-US" w:eastAsia="zh-CN"/>
              </w:rPr>
              <w:tab/>
            </w:r>
            <w:r>
              <w:rPr>
                <w:rFonts w:hint="eastAsia"/>
                <w:sz w:val="24"/>
                <w:lang w:val="en-US" w:eastAsia="zh-CN"/>
              </w:rPr>
              <w:tab/>
            </w:r>
            <w:r>
              <w:rPr>
                <w:rFonts w:hint="eastAsia"/>
                <w:sz w:val="24"/>
                <w:lang w:val="en-US" w:eastAsia="zh-CN"/>
              </w:rPr>
              <w:t>31412</w:t>
            </w:r>
          </w:p>
        </w:tc>
        <w:tc>
          <w:tcPr>
            <w:tcW w:w="1466" w:type="dxa"/>
            <w:tcBorders>
              <w:top w:val="single" w:color="000000" w:sz="8" w:space="0"/>
              <w:left w:val="nil"/>
              <w:bottom w:val="single" w:color="000000" w:sz="8" w:space="0"/>
              <w:right w:val="single" w:color="auto" w:sz="8" w:space="0"/>
            </w:tcBorders>
            <w:shd w:val="clear" w:color="auto" w:fill="CCFFFF"/>
            <w:tcMar>
              <w:top w:w="0" w:type="dxa"/>
              <w:left w:w="108" w:type="dxa"/>
              <w:bottom w:w="0" w:type="dxa"/>
              <w:right w:w="108" w:type="dxa"/>
            </w:tcMar>
            <w:vAlign w:val="center"/>
          </w:tcPr>
          <w:p>
            <w:pPr>
              <w:jc w:val="center"/>
              <w:rPr>
                <w:rFonts w:ascii="宋体" w:hAnsi="宋体" w:cs="宋体"/>
                <w:sz w:val="24"/>
              </w:rPr>
            </w:pPr>
            <w:r>
              <w:rPr>
                <w:rFonts w:hint="eastAsia"/>
                <w:sz w:val="24"/>
              </w:rPr>
              <w:t>100.00%</w:t>
            </w:r>
          </w:p>
        </w:tc>
      </w:tr>
    </w:tbl>
    <w:p>
      <w:pPr>
        <w:adjustRightInd w:val="0"/>
        <w:snapToGrid w:val="0"/>
        <w:spacing w:line="360" w:lineRule="auto"/>
        <w:rPr>
          <w:rFonts w:ascii="宋体" w:hAnsi="宋体"/>
          <w:color w:val="FF0000"/>
          <w:sz w:val="24"/>
        </w:rPr>
      </w:pPr>
      <w:r>
        <w:rPr>
          <w:rFonts w:hint="eastAsia" w:ascii="宋体" w:hAnsi="宋体"/>
          <w:color w:val="FF0000"/>
          <w:sz w:val="24"/>
        </w:rPr>
        <w:t xml:space="preserve">                </w:t>
      </w:r>
    </w:p>
    <w:p>
      <w:pPr>
        <w:adjustRightInd w:val="0"/>
        <w:snapToGrid w:val="0"/>
        <w:spacing w:line="360" w:lineRule="auto"/>
        <w:ind w:firstLine="480" w:firstLineChars="200"/>
        <w:rPr>
          <w:rFonts w:ascii="宋体" w:hAnsi="宋体"/>
          <w:sz w:val="24"/>
        </w:rPr>
      </w:pPr>
      <w:r>
        <w:rPr>
          <w:rFonts w:hint="eastAsia" w:ascii="宋体" w:hAnsi="宋体"/>
          <w:sz w:val="24"/>
        </w:rPr>
        <w:t>从行业需求来看，本季度6</w:t>
      </w:r>
      <w:r>
        <w:rPr>
          <w:rFonts w:hint="eastAsia" w:ascii="宋体" w:hAnsi="宋体"/>
          <w:sz w:val="24"/>
          <w:lang w:val="en-US" w:eastAsia="zh-CN"/>
        </w:rPr>
        <w:t>6.64</w:t>
      </w:r>
      <w:r>
        <w:rPr>
          <w:rFonts w:hint="eastAsia" w:ascii="宋体" w:hAnsi="宋体"/>
          <w:sz w:val="24"/>
        </w:rPr>
        <w:t>%的用人需求集中在制造业，其次为</w:t>
      </w:r>
      <w:r>
        <w:rPr>
          <w:rFonts w:hint="eastAsia" w:ascii="宋体" w:hAnsi="宋体" w:cs="宋体"/>
          <w:kern w:val="0"/>
          <w:sz w:val="24"/>
        </w:rPr>
        <w:t>信息传输、计算机服务和软件业</w:t>
      </w:r>
      <w:r>
        <w:rPr>
          <w:rFonts w:hint="eastAsia" w:ascii="宋体" w:hAnsi="宋体"/>
          <w:sz w:val="24"/>
        </w:rPr>
        <w:t>，占总需求的9.</w:t>
      </w:r>
      <w:r>
        <w:rPr>
          <w:rFonts w:hint="eastAsia" w:ascii="宋体" w:hAnsi="宋体"/>
          <w:sz w:val="24"/>
          <w:lang w:val="en-US" w:eastAsia="zh-CN"/>
        </w:rPr>
        <w:t>13</w:t>
      </w:r>
      <w:r>
        <w:rPr>
          <w:rFonts w:hint="eastAsia" w:ascii="宋体" w:hAnsi="宋体"/>
          <w:sz w:val="24"/>
        </w:rPr>
        <w:t>%，再次为</w:t>
      </w:r>
      <w:r>
        <w:rPr>
          <w:rFonts w:hint="eastAsia" w:ascii="宋体" w:hAnsi="宋体" w:cs="宋体"/>
          <w:kern w:val="0"/>
          <w:sz w:val="24"/>
          <w:lang w:val="en-US" w:eastAsia="zh-CN"/>
        </w:rPr>
        <w:t>批发和零售</w:t>
      </w:r>
      <w:r>
        <w:rPr>
          <w:rFonts w:hint="eastAsia" w:ascii="宋体" w:hAnsi="宋体" w:cs="宋体"/>
          <w:kern w:val="0"/>
          <w:sz w:val="24"/>
        </w:rPr>
        <w:t>业</w:t>
      </w:r>
      <w:r>
        <w:rPr>
          <w:rFonts w:hint="eastAsia" w:ascii="宋体" w:hAnsi="宋体"/>
          <w:sz w:val="24"/>
        </w:rPr>
        <w:t>，占总需求的</w:t>
      </w:r>
      <w:r>
        <w:rPr>
          <w:rFonts w:hint="eastAsia" w:ascii="宋体" w:hAnsi="宋体"/>
          <w:sz w:val="24"/>
          <w:lang w:val="en-US" w:eastAsia="zh-CN"/>
        </w:rPr>
        <w:t>6</w:t>
      </w:r>
      <w:r>
        <w:rPr>
          <w:rFonts w:hint="eastAsia" w:ascii="宋体" w:hAnsi="宋体"/>
          <w:sz w:val="24"/>
        </w:rPr>
        <w:t>.5</w:t>
      </w:r>
      <w:r>
        <w:rPr>
          <w:rFonts w:hint="eastAsia" w:ascii="宋体" w:hAnsi="宋体"/>
          <w:sz w:val="24"/>
          <w:lang w:val="en-US" w:eastAsia="zh-CN"/>
        </w:rPr>
        <w:t>0</w:t>
      </w:r>
      <w:r>
        <w:rPr>
          <w:rFonts w:hint="eastAsia" w:ascii="宋体" w:hAnsi="宋体"/>
          <w:sz w:val="24"/>
        </w:rPr>
        <w:t>%。</w:t>
      </w:r>
    </w:p>
    <w:p>
      <w:pPr>
        <w:adjustRightInd w:val="0"/>
        <w:snapToGrid w:val="0"/>
        <w:spacing w:line="360" w:lineRule="auto"/>
        <w:jc w:val="center"/>
        <w:rPr>
          <w:rFonts w:ascii="宋体" w:hAnsi="宋体"/>
          <w:sz w:val="24"/>
        </w:rPr>
      </w:pPr>
      <w:r>
        <w:rPr>
          <w:rFonts w:hint="eastAsia" w:ascii="宋体" w:hAnsi="宋体"/>
          <w:sz w:val="24"/>
        </w:rPr>
        <w:t>表3</w:t>
      </w:r>
      <w:r>
        <w:rPr>
          <w:rFonts w:ascii="宋体" w:hAnsi="宋体"/>
          <w:sz w:val="24"/>
        </w:rPr>
        <w:t>. 按行业分组的需求人数</w:t>
      </w:r>
    </w:p>
    <w:tbl>
      <w:tblPr>
        <w:tblStyle w:val="8"/>
        <w:tblW w:w="5964" w:type="dxa"/>
        <w:jc w:val="center"/>
        <w:tblCellSpacing w:w="0" w:type="dxa"/>
        <w:tblInd w:w="0" w:type="dxa"/>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
      <w:tblGrid>
        <w:gridCol w:w="3472"/>
        <w:gridCol w:w="1269"/>
        <w:gridCol w:w="1223"/>
      </w:tblGrid>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行业</w:t>
            </w:r>
          </w:p>
        </w:tc>
        <w:tc>
          <w:tcPr>
            <w:tcW w:w="1269" w:type="dxa"/>
            <w:tcBorders>
              <w:top w:val="single" w:color="000000" w:sz="8" w:space="0"/>
              <w:left w:val="single" w:color="auto"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 (人)</w:t>
            </w:r>
          </w:p>
        </w:tc>
        <w:tc>
          <w:tcPr>
            <w:tcW w:w="1223"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本季度需求所占比</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重 (%)</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农、林、牧、渔业</w:t>
            </w:r>
          </w:p>
        </w:tc>
        <w:tc>
          <w:tcPr>
            <w:tcW w:w="1269"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0 </w:t>
            </w:r>
          </w:p>
        </w:tc>
        <w:tc>
          <w:tcPr>
            <w:tcW w:w="1223"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采矿业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0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制造业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2</w:t>
            </w:r>
            <w:r>
              <w:rPr>
                <w:rFonts w:hint="eastAsia"/>
                <w:sz w:val="24"/>
                <w:lang w:val="en-US" w:eastAsia="zh-CN"/>
              </w:rPr>
              <w:t>0932</w:t>
            </w:r>
            <w:r>
              <w:rPr>
                <w:rFonts w:hint="eastAsia"/>
                <w:sz w:val="24"/>
              </w:rPr>
              <w:t xml:space="preserve">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6</w:t>
            </w:r>
            <w:r>
              <w:rPr>
                <w:rFonts w:hint="eastAsia"/>
                <w:sz w:val="24"/>
                <w:lang w:val="en-US" w:eastAsia="zh-CN"/>
              </w:rPr>
              <w:t>6</w:t>
            </w:r>
            <w:r>
              <w:rPr>
                <w:rFonts w:hint="eastAsia"/>
                <w:sz w:val="24"/>
              </w:rPr>
              <w:t>.</w:t>
            </w:r>
            <w:r>
              <w:rPr>
                <w:rFonts w:hint="eastAsia"/>
                <w:sz w:val="24"/>
                <w:lang w:val="en-US" w:eastAsia="zh-CN"/>
              </w:rPr>
              <w:t>64</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电力、燃气及水的生产和供应业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default" w:eastAsia="宋体"/>
                <w:sz w:val="24"/>
                <w:lang w:val="en-US" w:eastAsia="zh-CN"/>
              </w:rPr>
            </w:pPr>
            <w:r>
              <w:rPr>
                <w:rFonts w:hint="eastAsia"/>
                <w:sz w:val="24"/>
              </w:rPr>
              <w:t>1</w:t>
            </w:r>
            <w:r>
              <w:rPr>
                <w:rFonts w:hint="eastAsia"/>
                <w:sz w:val="24"/>
                <w:lang w:val="en-US" w:eastAsia="zh-CN"/>
              </w:rPr>
              <w:t>46</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0.4</w:t>
            </w:r>
            <w:r>
              <w:rPr>
                <w:rFonts w:hint="eastAsia"/>
                <w:sz w:val="24"/>
                <w:lang w:val="en-US" w:eastAsia="zh-CN"/>
              </w:rPr>
              <w:t>6</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建筑业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lang w:val="en-US" w:eastAsia="zh-CN"/>
              </w:rPr>
              <w:t>749</w:t>
            </w:r>
            <w:r>
              <w:rPr>
                <w:rFonts w:hint="eastAsia"/>
                <w:sz w:val="24"/>
              </w:rPr>
              <w:t xml:space="preserve">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2.38%</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交通运输、仓储和邮政业</w:t>
            </w:r>
          </w:p>
        </w:tc>
        <w:tc>
          <w:tcPr>
            <w:tcW w:w="1269" w:type="dxa"/>
            <w:tcBorders>
              <w:top w:val="single" w:color="auto" w:sz="8" w:space="0"/>
              <w:left w:val="single" w:color="auto"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lang w:val="en-US" w:eastAsia="zh-CN"/>
              </w:rPr>
              <w:t>267</w:t>
            </w:r>
            <w:r>
              <w:rPr>
                <w:rFonts w:hint="eastAsia"/>
                <w:sz w:val="24"/>
              </w:rPr>
              <w:t xml:space="preserve"> </w:t>
            </w:r>
          </w:p>
        </w:tc>
        <w:tc>
          <w:tcPr>
            <w:tcW w:w="1223"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w:t>
            </w:r>
            <w:r>
              <w:rPr>
                <w:rFonts w:hint="eastAsia"/>
                <w:sz w:val="24"/>
                <w:lang w:val="en-US" w:eastAsia="zh-CN"/>
              </w:rPr>
              <w:t>85</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信息传输、计算机服务和软件业</w:t>
            </w:r>
          </w:p>
        </w:tc>
        <w:tc>
          <w:tcPr>
            <w:tcW w:w="1269" w:type="dxa"/>
            <w:tcBorders>
              <w:top w:val="single" w:color="000000"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lang w:val="en-US" w:eastAsia="zh-CN"/>
              </w:rPr>
              <w:t>2867</w:t>
            </w:r>
            <w:r>
              <w:rPr>
                <w:rFonts w:hint="eastAsia"/>
                <w:sz w:val="24"/>
              </w:rPr>
              <w:t xml:space="preserve"> </w:t>
            </w:r>
          </w:p>
        </w:tc>
        <w:tc>
          <w:tcPr>
            <w:tcW w:w="1223"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9.</w:t>
            </w:r>
            <w:r>
              <w:rPr>
                <w:rFonts w:hint="eastAsia"/>
                <w:sz w:val="24"/>
                <w:lang w:val="en-US" w:eastAsia="zh-CN"/>
              </w:rPr>
              <w:t>13</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批发和零售业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default" w:eastAsia="宋体"/>
                <w:sz w:val="24"/>
                <w:lang w:val="en-US" w:eastAsia="zh-CN"/>
              </w:rPr>
            </w:pPr>
            <w:r>
              <w:rPr>
                <w:rFonts w:hint="eastAsia"/>
                <w:sz w:val="24"/>
              </w:rPr>
              <w:t>2</w:t>
            </w:r>
            <w:r>
              <w:rPr>
                <w:rFonts w:hint="eastAsia"/>
                <w:sz w:val="24"/>
                <w:lang w:val="en-US" w:eastAsia="zh-CN"/>
              </w:rPr>
              <w:t>043</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lang w:val="en-US" w:eastAsia="zh-CN"/>
              </w:rPr>
              <w:t>6</w:t>
            </w:r>
            <w:r>
              <w:rPr>
                <w:rFonts w:hint="eastAsia"/>
                <w:sz w:val="24"/>
              </w:rPr>
              <w:t>.</w:t>
            </w:r>
            <w:r>
              <w:rPr>
                <w:rFonts w:hint="eastAsia"/>
                <w:sz w:val="24"/>
                <w:lang w:val="en-US" w:eastAsia="zh-CN"/>
              </w:rPr>
              <w:t>50</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住宿和餐饮业</w:t>
            </w:r>
          </w:p>
        </w:tc>
        <w:tc>
          <w:tcPr>
            <w:tcW w:w="1269" w:type="dxa"/>
            <w:tcBorders>
              <w:top w:val="single" w:color="auto" w:sz="8" w:space="0"/>
              <w:left w:val="single" w:color="auto"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w:t>
            </w:r>
            <w:r>
              <w:rPr>
                <w:rFonts w:hint="eastAsia"/>
                <w:sz w:val="24"/>
                <w:lang w:val="en-US" w:eastAsia="zh-CN"/>
              </w:rPr>
              <w:t>340</w:t>
            </w:r>
            <w:r>
              <w:rPr>
                <w:rFonts w:hint="eastAsia"/>
                <w:sz w:val="24"/>
              </w:rPr>
              <w:t xml:space="preserve">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lang w:val="en-US" w:eastAsia="zh-CN"/>
              </w:rPr>
              <w:t>4</w:t>
            </w:r>
            <w:r>
              <w:rPr>
                <w:rFonts w:hint="eastAsia"/>
                <w:sz w:val="24"/>
              </w:rPr>
              <w:t>.</w:t>
            </w:r>
            <w:r>
              <w:rPr>
                <w:rFonts w:hint="eastAsia"/>
                <w:sz w:val="24"/>
                <w:lang w:val="en-US" w:eastAsia="zh-CN"/>
              </w:rPr>
              <w:t>27</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金融业</w:t>
            </w:r>
          </w:p>
        </w:tc>
        <w:tc>
          <w:tcPr>
            <w:tcW w:w="1269"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w:t>
            </w:r>
            <w:r>
              <w:rPr>
                <w:rFonts w:hint="eastAsia"/>
                <w:sz w:val="24"/>
                <w:lang w:val="en-US" w:eastAsia="zh-CN"/>
              </w:rPr>
              <w:t>09</w:t>
            </w:r>
            <w:r>
              <w:rPr>
                <w:rFonts w:hint="eastAsia"/>
                <w:sz w:val="24"/>
              </w:rPr>
              <w:t xml:space="preserve">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0.3</w:t>
            </w:r>
            <w:r>
              <w:rPr>
                <w:rFonts w:hint="eastAsia"/>
                <w:sz w:val="24"/>
                <w:lang w:val="en-US" w:eastAsia="zh-CN"/>
              </w:rPr>
              <w:t>5</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房地产业</w:t>
            </w:r>
          </w:p>
        </w:tc>
        <w:tc>
          <w:tcPr>
            <w:tcW w:w="1269"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lang w:val="en-US" w:eastAsia="zh-CN"/>
              </w:rPr>
              <w:t>74</w:t>
            </w:r>
            <w:r>
              <w:rPr>
                <w:rFonts w:hint="eastAsia"/>
                <w:sz w:val="24"/>
              </w:rPr>
              <w:t xml:space="preserve">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w:t>
            </w:r>
            <w:r>
              <w:rPr>
                <w:rFonts w:hint="eastAsia"/>
                <w:sz w:val="24"/>
                <w:lang w:val="en-US" w:eastAsia="zh-CN"/>
              </w:rPr>
              <w:t>24</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租赁和商务服务业</w:t>
            </w:r>
          </w:p>
        </w:tc>
        <w:tc>
          <w:tcPr>
            <w:tcW w:w="1269"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default" w:eastAsia="宋体"/>
                <w:sz w:val="24"/>
                <w:lang w:val="en-US" w:eastAsia="zh-CN"/>
              </w:rPr>
            </w:pPr>
            <w:r>
              <w:rPr>
                <w:rFonts w:hint="eastAsia"/>
                <w:sz w:val="24"/>
                <w:lang w:val="en-US" w:eastAsia="zh-CN"/>
              </w:rPr>
              <w:t>93</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w:t>
            </w:r>
            <w:r>
              <w:rPr>
                <w:rFonts w:hint="eastAsia"/>
                <w:sz w:val="24"/>
                <w:lang w:val="en-US" w:eastAsia="zh-CN"/>
              </w:rPr>
              <w:t>30</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科学研究、技术服务和地质勘查业</w:t>
            </w:r>
          </w:p>
        </w:tc>
        <w:tc>
          <w:tcPr>
            <w:tcW w:w="1269"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w:t>
            </w:r>
            <w:r>
              <w:rPr>
                <w:rFonts w:hint="eastAsia"/>
                <w:sz w:val="24"/>
                <w:lang w:val="en-US" w:eastAsia="zh-CN"/>
              </w:rPr>
              <w:t>21</w:t>
            </w:r>
            <w:r>
              <w:rPr>
                <w:rFonts w:hint="eastAsia"/>
                <w:sz w:val="24"/>
              </w:rPr>
              <w:t xml:space="preserve"> </w:t>
            </w:r>
          </w:p>
        </w:tc>
        <w:tc>
          <w:tcPr>
            <w:tcW w:w="1223"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0.3</w:t>
            </w:r>
            <w:r>
              <w:rPr>
                <w:rFonts w:hint="eastAsia"/>
                <w:sz w:val="24"/>
                <w:lang w:val="en-US" w:eastAsia="zh-CN"/>
              </w:rPr>
              <w:t>9</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水利、环境和公共设施管理业</w:t>
            </w:r>
          </w:p>
        </w:tc>
        <w:tc>
          <w:tcPr>
            <w:tcW w:w="1269"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w:t>
            </w:r>
            <w:r>
              <w:rPr>
                <w:rFonts w:hint="eastAsia"/>
                <w:sz w:val="24"/>
                <w:lang w:val="en-US" w:eastAsia="zh-CN"/>
              </w:rPr>
              <w:t>48</w:t>
            </w:r>
            <w:r>
              <w:rPr>
                <w:rFonts w:hint="eastAsia"/>
                <w:sz w:val="24"/>
              </w:rPr>
              <w:t xml:space="preserve"> </w:t>
            </w:r>
          </w:p>
        </w:tc>
        <w:tc>
          <w:tcPr>
            <w:tcW w:w="1223"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0.4</w:t>
            </w:r>
            <w:r>
              <w:rPr>
                <w:rFonts w:hint="eastAsia"/>
                <w:sz w:val="24"/>
                <w:lang w:val="en-US" w:eastAsia="zh-CN"/>
              </w:rPr>
              <w:t>7</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居民服务和其他服务业</w:t>
            </w:r>
          </w:p>
        </w:tc>
        <w:tc>
          <w:tcPr>
            <w:tcW w:w="1269"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lang w:val="en-US" w:eastAsia="zh-CN"/>
              </w:rPr>
              <w:t>1643</w:t>
            </w:r>
            <w:r>
              <w:rPr>
                <w:rFonts w:hint="eastAsia"/>
                <w:sz w:val="24"/>
              </w:rPr>
              <w:t xml:space="preserve"> </w:t>
            </w:r>
          </w:p>
        </w:tc>
        <w:tc>
          <w:tcPr>
            <w:tcW w:w="1223"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5.</w:t>
            </w:r>
            <w:r>
              <w:rPr>
                <w:rFonts w:hint="eastAsia"/>
                <w:sz w:val="24"/>
                <w:lang w:val="en-US" w:eastAsia="zh-CN"/>
              </w:rPr>
              <w:t>23</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教育</w:t>
            </w:r>
          </w:p>
        </w:tc>
        <w:tc>
          <w:tcPr>
            <w:tcW w:w="1269"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2</w:t>
            </w:r>
            <w:r>
              <w:rPr>
                <w:rFonts w:hint="eastAsia"/>
                <w:sz w:val="24"/>
                <w:lang w:val="en-US" w:eastAsia="zh-CN"/>
              </w:rPr>
              <w:t>65</w:t>
            </w:r>
            <w:r>
              <w:rPr>
                <w:rFonts w:hint="eastAsia"/>
                <w:sz w:val="24"/>
              </w:rPr>
              <w:t xml:space="preserve"> </w:t>
            </w:r>
          </w:p>
        </w:tc>
        <w:tc>
          <w:tcPr>
            <w:tcW w:w="1223"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w:t>
            </w:r>
            <w:r>
              <w:rPr>
                <w:rFonts w:hint="eastAsia"/>
                <w:sz w:val="24"/>
                <w:lang w:val="en-US" w:eastAsia="zh-CN"/>
              </w:rPr>
              <w:t>8</w:t>
            </w:r>
            <w:r>
              <w:rPr>
                <w:rFonts w:hint="eastAsia"/>
                <w:sz w:val="24"/>
              </w:rPr>
              <w:t>4%</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卫生、社会保障和社会福利业</w:t>
            </w:r>
          </w:p>
        </w:tc>
        <w:tc>
          <w:tcPr>
            <w:tcW w:w="1269"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lang w:val="en-US" w:eastAsia="zh-CN"/>
              </w:rPr>
              <w:t>301</w:t>
            </w:r>
            <w:r>
              <w:rPr>
                <w:rFonts w:hint="eastAsia"/>
                <w:sz w:val="24"/>
              </w:rPr>
              <w:t xml:space="preserve"> </w:t>
            </w:r>
          </w:p>
        </w:tc>
        <w:tc>
          <w:tcPr>
            <w:tcW w:w="1223"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lang w:val="en-US" w:eastAsia="zh-CN"/>
              </w:rPr>
              <w:t>0</w:t>
            </w:r>
            <w:r>
              <w:rPr>
                <w:rFonts w:hint="eastAsia"/>
                <w:sz w:val="24"/>
              </w:rPr>
              <w:t>.</w:t>
            </w:r>
            <w:r>
              <w:rPr>
                <w:rFonts w:hint="eastAsia"/>
                <w:sz w:val="24"/>
                <w:lang w:val="en-US" w:eastAsia="zh-CN"/>
              </w:rPr>
              <w:t>96</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文化、体育和娱乐业</w:t>
            </w:r>
          </w:p>
        </w:tc>
        <w:tc>
          <w:tcPr>
            <w:tcW w:w="1269"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default" w:eastAsia="宋体"/>
                <w:sz w:val="24"/>
                <w:lang w:val="en-US" w:eastAsia="zh-CN"/>
              </w:rPr>
            </w:pPr>
            <w:r>
              <w:rPr>
                <w:rFonts w:hint="eastAsia"/>
                <w:sz w:val="24"/>
              </w:rPr>
              <w:t>1</w:t>
            </w:r>
            <w:r>
              <w:rPr>
                <w:rFonts w:hint="eastAsia"/>
                <w:sz w:val="24"/>
                <w:lang w:val="en-US" w:eastAsia="zh-CN"/>
              </w:rPr>
              <w:t>05</w:t>
            </w:r>
          </w:p>
        </w:tc>
        <w:tc>
          <w:tcPr>
            <w:tcW w:w="1223"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0.3</w:t>
            </w:r>
            <w:r>
              <w:rPr>
                <w:rFonts w:hint="eastAsia"/>
                <w:sz w:val="24"/>
                <w:lang w:val="en-US" w:eastAsia="zh-CN"/>
              </w:rPr>
              <w:t>3</w:t>
            </w:r>
            <w:r>
              <w:rPr>
                <w:rFonts w:hint="eastAsia"/>
                <w:sz w:val="24"/>
              </w:rPr>
              <w:t>%</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公共管理与社会组织</w:t>
            </w:r>
          </w:p>
        </w:tc>
        <w:tc>
          <w:tcPr>
            <w:tcW w:w="1269"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ind w:firstLine="480" w:firstLineChars="200"/>
              <w:jc w:val="both"/>
              <w:rPr>
                <w:sz w:val="24"/>
              </w:rPr>
            </w:pPr>
            <w:r>
              <w:rPr>
                <w:rFonts w:hint="eastAsia"/>
                <w:sz w:val="24"/>
                <w:lang w:val="en-US" w:eastAsia="zh-CN"/>
              </w:rPr>
              <w:t>209</w:t>
            </w:r>
            <w:r>
              <w:rPr>
                <w:rFonts w:hint="eastAsia"/>
                <w:sz w:val="24"/>
              </w:rPr>
              <w:t xml:space="preserve"> </w:t>
            </w:r>
          </w:p>
        </w:tc>
        <w:tc>
          <w:tcPr>
            <w:tcW w:w="1223"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w:t>
            </w:r>
            <w:r>
              <w:rPr>
                <w:rFonts w:hint="eastAsia"/>
                <w:sz w:val="24"/>
                <w:lang w:val="en-US" w:eastAsia="zh-CN"/>
              </w:rPr>
              <w:t>6</w:t>
            </w:r>
            <w:r>
              <w:rPr>
                <w:rFonts w:hint="eastAsia"/>
                <w:sz w:val="24"/>
              </w:rPr>
              <w:t>7%</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国际组织</w:t>
            </w:r>
          </w:p>
        </w:tc>
        <w:tc>
          <w:tcPr>
            <w:tcW w:w="1269"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 xml:space="preserve">0 </w:t>
            </w:r>
          </w:p>
        </w:tc>
        <w:tc>
          <w:tcPr>
            <w:tcW w:w="1223" w:type="dxa"/>
            <w:tcBorders>
              <w:top w:val="single" w:color="auto"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0.00%</w:t>
            </w:r>
          </w:p>
        </w:tc>
      </w:tr>
      <w:tr>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fixed"/>
          <w:tblCellMar>
            <w:top w:w="0" w:type="dxa"/>
            <w:left w:w="0" w:type="dxa"/>
            <w:bottom w:w="0" w:type="dxa"/>
            <w:right w:w="0" w:type="dxa"/>
          </w:tblCellMar>
        </w:tblPrEx>
        <w:trPr>
          <w:trHeight w:val="510" w:hRule="atLeast"/>
          <w:tblCellSpacing w:w="0" w:type="dxa"/>
          <w:jc w:val="center"/>
        </w:trPr>
        <w:tc>
          <w:tcPr>
            <w:tcW w:w="3472" w:type="dxa"/>
            <w:tcBorders>
              <w:top w:val="single" w:color="000000" w:sz="8" w:space="0"/>
              <w:left w:val="single" w:color="auto" w:sz="8" w:space="0"/>
              <w:bottom w:val="single" w:color="000000"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269"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lang w:val="en-US" w:eastAsia="zh-CN"/>
              </w:rPr>
              <w:t>31412</w:t>
            </w:r>
            <w:r>
              <w:rPr>
                <w:rFonts w:hint="eastAsia"/>
                <w:sz w:val="24"/>
              </w:rPr>
              <w:t xml:space="preserve"> </w:t>
            </w:r>
          </w:p>
        </w:tc>
        <w:tc>
          <w:tcPr>
            <w:tcW w:w="1223"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sz w:val="24"/>
              </w:rPr>
            </w:pPr>
            <w:r>
              <w:rPr>
                <w:rFonts w:hint="eastAsia"/>
                <w:sz w:val="24"/>
              </w:rPr>
              <w:t>100.00%</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（三）</w:t>
      </w:r>
      <w:r>
        <w:rPr>
          <w:rFonts w:ascii="宋体" w:hAnsi="宋体"/>
          <w:b/>
          <w:sz w:val="24"/>
        </w:rPr>
        <w:t>、用人单位需求情况</w:t>
      </w:r>
    </w:p>
    <w:p>
      <w:pPr>
        <w:adjustRightInd w:val="0"/>
        <w:snapToGrid w:val="0"/>
        <w:spacing w:line="360" w:lineRule="auto"/>
        <w:ind w:firstLine="480" w:firstLineChars="200"/>
        <w:rPr>
          <w:rFonts w:ascii="宋体" w:hAnsi="宋体"/>
          <w:color w:val="FF0000"/>
          <w:sz w:val="24"/>
        </w:rPr>
      </w:pPr>
      <w:r>
        <w:rPr>
          <w:rFonts w:hint="eastAsia" w:ascii="宋体" w:hAnsi="Verdana" w:cs="宋体"/>
          <w:kern w:val="0"/>
          <w:sz w:val="24"/>
        </w:rPr>
        <w:t>按不同的经济类型单位需求情况看，本季度企业需求人数为</w:t>
      </w:r>
      <w:r>
        <w:rPr>
          <w:rFonts w:hint="eastAsia" w:ascii="宋体" w:hAnsi="Verdana" w:cs="宋体"/>
          <w:kern w:val="0"/>
          <w:sz w:val="24"/>
          <w:lang w:val="en-US" w:eastAsia="zh-CN"/>
        </w:rPr>
        <w:t>30922</w:t>
      </w:r>
      <w:r>
        <w:rPr>
          <w:rFonts w:hint="eastAsia" w:ascii="宋体" w:hAnsi="Verdana" w:cs="宋体"/>
          <w:kern w:val="0"/>
          <w:sz w:val="24"/>
        </w:rPr>
        <w:t>人。企业中需求人数所占比重最多的是内资企业，共</w:t>
      </w:r>
      <w:r>
        <w:rPr>
          <w:rFonts w:hint="eastAsia" w:ascii="宋体" w:hAnsi="Verdana" w:cs="宋体"/>
          <w:kern w:val="0"/>
          <w:sz w:val="24"/>
          <w:lang w:val="en-US" w:eastAsia="zh-CN"/>
        </w:rPr>
        <w:t>28506</w:t>
      </w:r>
      <w:r>
        <w:rPr>
          <w:rFonts w:hint="eastAsia" w:ascii="宋体" w:hAnsi="Verdana" w:cs="宋体"/>
          <w:kern w:val="0"/>
          <w:sz w:val="24"/>
        </w:rPr>
        <w:t>人，占企业总数的9</w:t>
      </w:r>
      <w:r>
        <w:rPr>
          <w:rFonts w:hint="eastAsia" w:ascii="宋体" w:hAnsi="Verdana" w:cs="宋体"/>
          <w:kern w:val="0"/>
          <w:sz w:val="24"/>
          <w:lang w:val="en-US" w:eastAsia="zh-CN"/>
        </w:rPr>
        <w:t>0</w:t>
      </w:r>
      <w:r>
        <w:rPr>
          <w:rFonts w:hint="eastAsia" w:ascii="宋体" w:hAnsi="Verdana" w:cs="宋体"/>
          <w:kern w:val="0"/>
          <w:sz w:val="24"/>
        </w:rPr>
        <w:t>.</w:t>
      </w:r>
      <w:r>
        <w:rPr>
          <w:rFonts w:hint="eastAsia" w:ascii="宋体" w:hAnsi="Verdana" w:cs="宋体"/>
          <w:kern w:val="0"/>
          <w:sz w:val="24"/>
          <w:lang w:val="en-US" w:eastAsia="zh-CN"/>
        </w:rPr>
        <w:t>75</w:t>
      </w:r>
      <w:r>
        <w:rPr>
          <w:rFonts w:hint="eastAsia" w:ascii="宋体" w:hAnsi="Verdana" w:cs="宋体"/>
          <w:kern w:val="0"/>
          <w:sz w:val="24"/>
        </w:rPr>
        <w:t>%，内资企业中用工需求主要集中在有限责任公司、股份有限公司</w:t>
      </w:r>
      <w:r>
        <w:rPr>
          <w:rFonts w:hint="eastAsia" w:ascii="宋体" w:hAnsi="Verdana" w:cs="宋体"/>
          <w:kern w:val="0"/>
          <w:sz w:val="24"/>
          <w:lang w:eastAsia="zh-CN"/>
        </w:rPr>
        <w:t>、</w:t>
      </w:r>
      <w:r>
        <w:rPr>
          <w:rFonts w:hint="eastAsia" w:ascii="宋体" w:hAnsi="Verdana" w:cs="宋体"/>
          <w:kern w:val="0"/>
          <w:sz w:val="24"/>
          <w:lang w:val="en-US" w:eastAsia="zh-CN"/>
        </w:rPr>
        <w:t>其他</w:t>
      </w:r>
      <w:r>
        <w:rPr>
          <w:rFonts w:hint="eastAsia" w:ascii="宋体" w:hAnsi="Verdana" w:cs="宋体"/>
          <w:kern w:val="0"/>
          <w:sz w:val="24"/>
        </w:rPr>
        <w:t>企业。</w:t>
      </w:r>
    </w:p>
    <w:p>
      <w:pPr>
        <w:widowControl/>
        <w:adjustRightInd w:val="0"/>
        <w:snapToGrid w:val="0"/>
        <w:spacing w:beforeAutospacing="1" w:afterAutospacing="1" w:line="360" w:lineRule="auto"/>
        <w:jc w:val="center"/>
        <w:rPr>
          <w:rFonts w:ascii="宋体" w:hAnsi="宋体" w:cs="宋体"/>
          <w:kern w:val="0"/>
          <w:sz w:val="24"/>
        </w:rPr>
      </w:pPr>
      <w:r>
        <w:rPr>
          <w:rFonts w:hint="eastAsia" w:ascii="宋体" w:hAnsi="宋体" w:cs="宋体"/>
          <w:kern w:val="0"/>
          <w:sz w:val="24"/>
        </w:rPr>
        <w:t>表4. 按经济类型分组的需求人数</w:t>
      </w:r>
    </w:p>
    <w:tbl>
      <w:tblPr>
        <w:tblStyle w:val="8"/>
        <w:tblW w:w="6185" w:type="dxa"/>
        <w:jc w:val="center"/>
        <w:tblCellSpacing w:w="0" w:type="dxa"/>
        <w:tblInd w:w="0" w:type="dxa"/>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
      <w:tblGrid>
        <w:gridCol w:w="3122"/>
        <w:gridCol w:w="1448"/>
        <w:gridCol w:w="1615"/>
      </w:tblGrid>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经济类型</w:t>
            </w:r>
          </w:p>
        </w:tc>
        <w:tc>
          <w:tcPr>
            <w:tcW w:w="1448"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sz w:val="24"/>
              </w:rPr>
            </w:pPr>
            <w:r>
              <w:rPr>
                <w:rFonts w:hint="eastAsia"/>
                <w:sz w:val="24"/>
              </w:rPr>
              <w:t>本季度</w:t>
            </w:r>
          </w:p>
          <w:p>
            <w:pPr>
              <w:spacing w:line="360" w:lineRule="auto"/>
              <w:jc w:val="center"/>
              <w:rPr>
                <w:rFonts w:ascii="宋体" w:hAnsi="宋体" w:cs="宋体"/>
                <w:sz w:val="24"/>
              </w:rPr>
            </w:pPr>
            <w:r>
              <w:rPr>
                <w:rFonts w:hint="eastAsia"/>
                <w:sz w:val="24"/>
              </w:rPr>
              <w:t>需求人数 (人)</w:t>
            </w:r>
          </w:p>
        </w:tc>
        <w:tc>
          <w:tcPr>
            <w:tcW w:w="1615" w:type="dxa"/>
            <w:tcBorders>
              <w:top w:val="single" w:color="000000" w:sz="8" w:space="0"/>
              <w:left w:val="single" w:color="000000" w:sz="8" w:space="0"/>
              <w:bottom w:val="single" w:color="000000" w:sz="8" w:space="0"/>
              <w:right w:val="single" w:color="000000" w:sz="8" w:space="0"/>
            </w:tcBorders>
            <w:shd w:val="clear" w:color="auto" w:fill="FFFF99"/>
            <w:tcMar>
              <w:top w:w="15" w:type="dxa"/>
              <w:left w:w="15" w:type="dxa"/>
              <w:bottom w:w="15" w:type="dxa"/>
              <w:right w:w="15" w:type="dxa"/>
            </w:tcMar>
            <w:vAlign w:val="center"/>
          </w:tcPr>
          <w:p>
            <w:pPr>
              <w:spacing w:line="360" w:lineRule="auto"/>
              <w:jc w:val="center"/>
              <w:rPr>
                <w:rFonts w:ascii="宋体" w:hAnsi="宋体" w:cs="宋体"/>
                <w:sz w:val="24"/>
              </w:rPr>
            </w:pPr>
            <w:r>
              <w:rPr>
                <w:rFonts w:hint="eastAsia"/>
                <w:sz w:val="24"/>
              </w:rPr>
              <w:t>本季度需求所占比重 (%)</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bottom"/>
          </w:tcPr>
          <w:p>
            <w:pPr>
              <w:jc w:val="center"/>
              <w:rPr>
                <w:rFonts w:hint="eastAsia"/>
                <w:sz w:val="24"/>
              </w:rPr>
            </w:pPr>
            <w:r>
              <w:rPr>
                <w:rFonts w:hint="eastAsia"/>
                <w:sz w:val="24"/>
                <w:lang w:val="en-US" w:eastAsia="zh-CN"/>
              </w:rPr>
              <w:t xml:space="preserve">30922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98.44%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其中：内资企业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28506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90.75%</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国有企业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718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2.29%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集体企业</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232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0.74%</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股份合作企业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2926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9.31%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联营企业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475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1.51%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auto"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有限责任公司</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11970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38.11%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股份有限公司</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5813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18.51%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私营企业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2730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8.69%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100"/>
              <w:jc w:val="both"/>
              <w:rPr>
                <w:rFonts w:ascii="宋体" w:hAnsi="宋体" w:cs="宋体"/>
                <w:kern w:val="0"/>
                <w:sz w:val="24"/>
              </w:rPr>
            </w:pPr>
            <w:r>
              <w:rPr>
                <w:rFonts w:hint="eastAsia" w:ascii="宋体" w:hAnsi="宋体" w:cs="宋体"/>
                <w:kern w:val="0"/>
                <w:sz w:val="24"/>
              </w:rPr>
              <w:t>其它企业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3642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11.59%</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港、澳、台投资企业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1430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4.55%</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外商投资企业</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575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1.83%</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ind w:firstLine="1231" w:firstLineChars="513"/>
              <w:jc w:val="both"/>
              <w:rPr>
                <w:rFonts w:ascii="宋体" w:hAnsi="宋体" w:cs="宋体"/>
                <w:kern w:val="0"/>
                <w:sz w:val="24"/>
              </w:rPr>
            </w:pPr>
            <w:r>
              <w:rPr>
                <w:rFonts w:hint="eastAsia" w:ascii="宋体" w:hAnsi="宋体" w:cs="宋体"/>
                <w:kern w:val="0"/>
                <w:sz w:val="24"/>
              </w:rPr>
              <w:t>个体经营</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411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1.31%</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事业</w:t>
            </w:r>
          </w:p>
        </w:tc>
        <w:tc>
          <w:tcPr>
            <w:tcW w:w="1448"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0 </w:t>
            </w:r>
          </w:p>
        </w:tc>
        <w:tc>
          <w:tcPr>
            <w:tcW w:w="1615" w:type="dxa"/>
            <w:tcBorders>
              <w:top w:val="single" w:color="auto"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0.00%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auto"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机关</w:t>
            </w:r>
          </w:p>
        </w:tc>
        <w:tc>
          <w:tcPr>
            <w:tcW w:w="1448"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127 </w:t>
            </w:r>
          </w:p>
        </w:tc>
        <w:tc>
          <w:tcPr>
            <w:tcW w:w="1615" w:type="dxa"/>
            <w:tcBorders>
              <w:top w:val="single" w:color="000000" w:sz="8" w:space="0"/>
              <w:left w:val="single" w:color="000000" w:sz="8" w:space="0"/>
              <w:bottom w:val="single" w:color="auto"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0.40%</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000000"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其他</w:t>
            </w:r>
          </w:p>
        </w:tc>
        <w:tc>
          <w:tcPr>
            <w:tcW w:w="1448"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 xml:space="preserve">363 </w:t>
            </w:r>
          </w:p>
        </w:tc>
        <w:tc>
          <w:tcPr>
            <w:tcW w:w="1615" w:type="dxa"/>
            <w:tcBorders>
              <w:top w:val="single" w:color="000000" w:sz="8" w:space="0"/>
              <w:left w:val="single" w:color="000000" w:sz="8" w:space="0"/>
              <w:bottom w:val="single" w:color="000000"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1.16%</w:t>
            </w:r>
          </w:p>
        </w:tc>
      </w:tr>
      <w:tr>
        <w:tblPrEx>
          <w:tblBorders>
            <w:top w:val="single" w:color="FFFFFF" w:sz="8" w:space="0"/>
            <w:left w:val="single" w:color="FFFFFF" w:sz="8" w:space="0"/>
            <w:bottom w:val="single" w:color="FFFFFF" w:sz="8" w:space="0"/>
            <w:right w:val="single" w:color="FFFFFF"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3122" w:type="dxa"/>
            <w:tcBorders>
              <w:top w:val="single" w:color="000000" w:sz="8" w:space="0"/>
              <w:left w:val="single" w:color="000000" w:sz="8" w:space="0"/>
              <w:bottom w:val="single" w:color="FFFFFF" w:sz="8" w:space="0"/>
              <w:right w:val="single" w:color="000000"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448"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rPr>
            </w:pPr>
            <w:r>
              <w:rPr>
                <w:rFonts w:hint="eastAsia"/>
                <w:sz w:val="24"/>
                <w:lang w:val="en-US" w:eastAsia="zh-CN"/>
              </w:rPr>
              <w:t>31412</w:t>
            </w:r>
          </w:p>
        </w:tc>
        <w:tc>
          <w:tcPr>
            <w:tcW w:w="1615" w:type="dxa"/>
            <w:tcBorders>
              <w:top w:val="single" w:color="000000" w:sz="8" w:space="0"/>
              <w:left w:val="single" w:color="000000" w:sz="8" w:space="0"/>
              <w:bottom w:val="single" w:color="FFFFFF" w:sz="8" w:space="0"/>
              <w:right w:val="single" w:color="000000"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100.00%</w:t>
            </w:r>
          </w:p>
        </w:tc>
      </w:tr>
    </w:tbl>
    <w:p>
      <w:pPr>
        <w:adjustRightInd w:val="0"/>
        <w:snapToGrid w:val="0"/>
        <w:spacing w:line="360" w:lineRule="auto"/>
        <w:ind w:firstLine="480" w:firstLineChars="200"/>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（四）</w:t>
      </w:r>
      <w:r>
        <w:rPr>
          <w:rFonts w:ascii="宋体" w:hAnsi="宋体"/>
          <w:b/>
          <w:sz w:val="24"/>
        </w:rPr>
        <w:t>、</w:t>
      </w:r>
      <w:r>
        <w:rPr>
          <w:rFonts w:hint="eastAsia" w:ascii="宋体" w:hAnsi="宋体"/>
          <w:b/>
          <w:sz w:val="24"/>
        </w:rPr>
        <w:t>按</w:t>
      </w:r>
      <w:r>
        <w:rPr>
          <w:rFonts w:ascii="宋体" w:hAnsi="宋体"/>
          <w:b/>
          <w:sz w:val="24"/>
        </w:rPr>
        <w:t>职业供求情况分析</w:t>
      </w:r>
    </w:p>
    <w:p>
      <w:pPr>
        <w:adjustRightInd w:val="0"/>
        <w:snapToGrid w:val="0"/>
        <w:spacing w:line="360" w:lineRule="auto"/>
        <w:ind w:firstLine="420"/>
        <w:rPr>
          <w:rFonts w:ascii="宋体" w:hAnsi="宋体"/>
          <w:sz w:val="24"/>
        </w:rPr>
      </w:pPr>
      <w:r>
        <w:rPr>
          <w:rFonts w:hint="eastAsia" w:ascii="宋体" w:hAnsi="宋体" w:cs="宋体"/>
          <w:kern w:val="0"/>
          <w:sz w:val="24"/>
        </w:rPr>
        <w:t>从职业供求情况来看，操作工需求和求职人数最多，比重均最大，超过一半，从数量上缺口也最大。这一情况与去年同期及上期供求情况相似，也是我市以制造业为主的产业结构的体现。</w:t>
      </w:r>
    </w:p>
    <w:p>
      <w:pPr>
        <w:adjustRightInd w:val="0"/>
        <w:snapToGrid w:val="0"/>
        <w:spacing w:line="360" w:lineRule="auto"/>
        <w:jc w:val="center"/>
        <w:rPr>
          <w:rFonts w:ascii="宋体" w:hAnsi="宋体"/>
          <w:sz w:val="24"/>
        </w:rPr>
      </w:pPr>
      <w:r>
        <w:rPr>
          <w:rFonts w:hint="eastAsia" w:ascii="宋体" w:hAnsi="宋体"/>
          <w:sz w:val="24"/>
        </w:rPr>
        <w:t xml:space="preserve">表5. </w:t>
      </w:r>
      <w:r>
        <w:rPr>
          <w:rFonts w:ascii="宋体" w:hAnsi="宋体"/>
          <w:sz w:val="24"/>
        </w:rPr>
        <w:t>按职业分组的供求人数</w:t>
      </w:r>
    </w:p>
    <w:tbl>
      <w:tblPr>
        <w:tblStyle w:val="8"/>
        <w:tblW w:w="6933" w:type="dxa"/>
        <w:jc w:val="center"/>
        <w:tblInd w:w="0" w:type="dxa"/>
        <w:tblLayout w:type="fixed"/>
        <w:tblCellMar>
          <w:top w:w="0" w:type="dxa"/>
          <w:left w:w="0" w:type="dxa"/>
          <w:bottom w:w="0" w:type="dxa"/>
          <w:right w:w="0" w:type="dxa"/>
        </w:tblCellMar>
      </w:tblPr>
      <w:tblGrid>
        <w:gridCol w:w="1947"/>
        <w:gridCol w:w="936"/>
        <w:gridCol w:w="1076"/>
        <w:gridCol w:w="936"/>
        <w:gridCol w:w="1077"/>
        <w:gridCol w:w="961"/>
      </w:tblGrid>
      <w:tr>
        <w:tblPrEx>
          <w:tblLayout w:type="fixed"/>
          <w:tblCellMar>
            <w:top w:w="0" w:type="dxa"/>
            <w:left w:w="0" w:type="dxa"/>
            <w:bottom w:w="0" w:type="dxa"/>
            <w:right w:w="0" w:type="dxa"/>
          </w:tblCellMar>
        </w:tblPrEx>
        <w:trPr>
          <w:cantSplit/>
          <w:trHeight w:val="397" w:hRule="atLeast"/>
          <w:jc w:val="center"/>
        </w:trPr>
        <w:tc>
          <w:tcPr>
            <w:tcW w:w="1947"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职业类别</w:t>
            </w:r>
          </w:p>
        </w:tc>
        <w:tc>
          <w:tcPr>
            <w:tcW w:w="4986"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劳动力供求人数比较</w:t>
            </w:r>
          </w:p>
        </w:tc>
      </w:tr>
      <w:tr>
        <w:tblPrEx>
          <w:tblLayout w:type="fixed"/>
          <w:tblCellMar>
            <w:top w:w="0" w:type="dxa"/>
            <w:left w:w="0" w:type="dxa"/>
            <w:bottom w:w="0" w:type="dxa"/>
            <w:right w:w="0" w:type="dxa"/>
          </w:tblCellMar>
        </w:tblPrEx>
        <w:trPr>
          <w:cantSplit/>
          <w:trHeight w:val="397" w:hRule="atLeast"/>
          <w:jc w:val="center"/>
        </w:trPr>
        <w:tc>
          <w:tcPr>
            <w:tcW w:w="1947"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center"/>
              <w:rPr>
                <w:rFonts w:ascii="Verdana" w:hAnsi="Verdana" w:cs="宋体"/>
                <w:kern w:val="0"/>
                <w:sz w:val="24"/>
              </w:rPr>
            </w:pP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需求人数（人）</w:t>
            </w:r>
          </w:p>
        </w:tc>
        <w:tc>
          <w:tcPr>
            <w:tcW w:w="107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需求比重  （%）</w:t>
            </w:r>
          </w:p>
        </w:tc>
        <w:tc>
          <w:tcPr>
            <w:tcW w:w="936"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求职人数  （人）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求职比重  （%）</w:t>
            </w:r>
          </w:p>
        </w:tc>
        <w:tc>
          <w:tcPr>
            <w:tcW w:w="961"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求人倍率</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单位负责人</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123</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0.39%</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0.40%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1.19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专业技术人员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3423</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10.90%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2888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11.12%</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1.19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办事人员和有关人员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1992</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6.34%</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1697</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6.54%</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1.17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商业和服务业人员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4787</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15.24%</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3998</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15.40%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1.20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农林牧渔水利生产人员</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生产运输设备操作工</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18988</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60.45%</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15530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59.82%</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1.22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其他</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2099</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6.68%</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1747</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6.73%</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1.20 </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无要求</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r>
      <w:tr>
        <w:tblPrEx>
          <w:tblLayout w:type="fixed"/>
          <w:tblCellMar>
            <w:top w:w="0" w:type="dxa"/>
            <w:left w:w="0" w:type="dxa"/>
            <w:bottom w:w="0" w:type="dxa"/>
            <w:right w:w="0" w:type="dxa"/>
          </w:tblCellMar>
        </w:tblPrEx>
        <w:trPr>
          <w:trHeight w:val="630" w:hRule="atLeast"/>
          <w:jc w:val="center"/>
        </w:trPr>
        <w:tc>
          <w:tcPr>
            <w:tcW w:w="194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31412</w:t>
            </w:r>
          </w:p>
        </w:tc>
        <w:tc>
          <w:tcPr>
            <w:tcW w:w="107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936"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25963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961" w:type="dxa"/>
            <w:tcBorders>
              <w:top w:val="single" w:color="auto" w:sz="8" w:space="0"/>
              <w:left w:val="nil"/>
              <w:bottom w:val="single" w:color="auto" w:sz="8" w:space="0"/>
              <w:right w:val="single" w:color="auto" w:sz="8" w:space="0"/>
            </w:tcBorders>
            <w:shd w:val="clear" w:color="auto" w:fill="33CCCC"/>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bl>
    <w:p>
      <w:pPr>
        <w:adjustRightInd w:val="0"/>
        <w:snapToGrid w:val="0"/>
        <w:spacing w:line="360" w:lineRule="auto"/>
        <w:jc w:val="center"/>
        <w:rPr>
          <w:rFonts w:ascii="宋体" w:hAnsi="宋体"/>
          <w:color w:val="FF0000"/>
          <w:sz w:val="24"/>
        </w:rPr>
      </w:pPr>
    </w:p>
    <w:tbl>
      <w:tblPr>
        <w:tblStyle w:val="8"/>
        <w:tblW w:w="9673" w:type="dxa"/>
        <w:tblInd w:w="93" w:type="dxa"/>
        <w:tblLayout w:type="fixed"/>
        <w:tblCellMar>
          <w:top w:w="0" w:type="dxa"/>
          <w:left w:w="108" w:type="dxa"/>
          <w:bottom w:w="0" w:type="dxa"/>
          <w:right w:w="108" w:type="dxa"/>
        </w:tblCellMar>
      </w:tblPr>
      <w:tblGrid>
        <w:gridCol w:w="9673"/>
      </w:tblGrid>
      <w:tr>
        <w:tblPrEx>
          <w:tblLayout w:type="fixed"/>
          <w:tblCellMar>
            <w:top w:w="0" w:type="dxa"/>
            <w:left w:w="108" w:type="dxa"/>
            <w:bottom w:w="0" w:type="dxa"/>
            <w:right w:w="108" w:type="dxa"/>
          </w:tblCellMar>
        </w:tblPrEx>
        <w:trPr>
          <w:trHeight w:val="855" w:hRule="atLeast"/>
        </w:trPr>
        <w:tc>
          <w:tcPr>
            <w:tcW w:w="9673" w:type="dxa"/>
            <w:tcBorders>
              <w:top w:val="nil"/>
              <w:left w:val="nil"/>
              <w:bottom w:val="nil"/>
              <w:right w:val="nil"/>
            </w:tcBorders>
            <w:shd w:val="clear" w:color="auto" w:fill="auto"/>
            <w:vAlign w:val="center"/>
          </w:tcPr>
          <w:p>
            <w:pPr>
              <w:widowControl/>
              <w:spacing w:line="360" w:lineRule="auto"/>
              <w:ind w:right="252" w:rightChars="120"/>
              <w:jc w:val="center"/>
              <w:rPr>
                <w:rFonts w:ascii="宋体" w:hAnsi="宋体"/>
                <w:sz w:val="24"/>
              </w:rPr>
            </w:pPr>
            <w:r>
              <w:rPr>
                <w:rFonts w:hint="eastAsia" w:ascii="宋体" w:hAnsi="宋体"/>
                <w:sz w:val="24"/>
              </w:rPr>
              <w:t>表</w:t>
            </w:r>
            <w:r>
              <w:rPr>
                <w:rFonts w:hint="eastAsia" w:ascii="宋体" w:hAnsi="宋体"/>
                <w:sz w:val="24"/>
                <w:lang w:val="en-US" w:eastAsia="zh-CN"/>
              </w:rPr>
              <w:t>6</w:t>
            </w:r>
            <w:r>
              <w:rPr>
                <w:rFonts w:hint="eastAsia" w:ascii="宋体" w:hAnsi="宋体"/>
                <w:sz w:val="24"/>
              </w:rPr>
              <w:t>.</w:t>
            </w:r>
            <w:r>
              <w:rPr>
                <w:rFonts w:hint="eastAsia" w:ascii="宋体" w:hAnsi="宋体"/>
                <w:sz w:val="24"/>
                <w:lang w:val="en-US" w:eastAsia="zh-CN"/>
              </w:rPr>
              <w:t xml:space="preserve"> </w:t>
            </w:r>
            <w:r>
              <w:rPr>
                <w:rFonts w:hint="eastAsia" w:ascii="宋体" w:hAnsi="宋体"/>
                <w:sz w:val="24"/>
              </w:rPr>
              <w:t>需求大于求职缺口最大的前十个职业</w:t>
            </w:r>
          </w:p>
          <w:p>
            <w:pPr>
              <w:widowControl/>
              <w:spacing w:line="360" w:lineRule="auto"/>
              <w:ind w:right="252" w:rightChars="120"/>
              <w:jc w:val="center"/>
              <w:rPr>
                <w:rFonts w:ascii="宋体" w:hAnsi="宋体"/>
                <w:color w:val="FF0000"/>
                <w:sz w:val="24"/>
              </w:rPr>
            </w:pPr>
          </w:p>
          <w:tbl>
            <w:tblPr>
              <w:tblStyle w:val="8"/>
              <w:tblW w:w="8888" w:type="dxa"/>
              <w:tblInd w:w="0" w:type="dxa"/>
              <w:shd w:val="clear" w:color="auto" w:fill="DAEEF3" w:themeFill="accent5" w:themeFillTint="33"/>
              <w:tblLayout w:type="fixed"/>
              <w:tblCellMar>
                <w:top w:w="0" w:type="dxa"/>
                <w:left w:w="108" w:type="dxa"/>
                <w:bottom w:w="0" w:type="dxa"/>
                <w:right w:w="108" w:type="dxa"/>
              </w:tblCellMar>
            </w:tblPr>
            <w:tblGrid>
              <w:gridCol w:w="458"/>
              <w:gridCol w:w="1872"/>
              <w:gridCol w:w="1494"/>
              <w:gridCol w:w="1519"/>
              <w:gridCol w:w="1350"/>
              <w:gridCol w:w="1012"/>
              <w:gridCol w:w="1183"/>
            </w:tblGrid>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2330"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94"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064"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2330"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94"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519"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350"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012"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183"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焊工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6-18-02-04</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672</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456</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216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1.47 </w:t>
                  </w:r>
                </w:p>
              </w:tc>
            </w:tr>
            <w:tr>
              <w:tblPrEx>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纺纱工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6-04-02-01</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735</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546</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189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1.35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缝纫工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6-05-01-03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522</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393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129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1.33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电声器件制造工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6-25-01-07</w:t>
                  </w:r>
                </w:p>
              </w:tc>
              <w:tc>
                <w:tcPr>
                  <w:tcW w:w="1519" w:type="dxa"/>
                  <w:tcBorders>
                    <w:top w:val="nil"/>
                    <w:left w:val="nil"/>
                    <w:bottom w:val="nil"/>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549</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423</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126</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1.30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车工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6-18-01-01</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492</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387</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105</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1.27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钳工</w:t>
                  </w:r>
                </w:p>
              </w:tc>
              <w:tc>
                <w:tcPr>
                  <w:tcW w:w="1494" w:type="dxa"/>
                  <w:tcBorders>
                    <w:top w:val="nil"/>
                    <w:left w:val="nil"/>
                    <w:bottom w:val="nil"/>
                    <w:right w:val="nil"/>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2-06-03-00</w:t>
                  </w:r>
                </w:p>
              </w:tc>
              <w:tc>
                <w:tcPr>
                  <w:tcW w:w="1519" w:type="dxa"/>
                  <w:tcBorders>
                    <w:top w:val="nil"/>
                    <w:left w:val="single" w:color="auto" w:sz="4" w:space="0"/>
                    <w:bottom w:val="nil"/>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474</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375</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99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1.26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冲压工</w:t>
                  </w:r>
                </w:p>
              </w:tc>
              <w:tc>
                <w:tcPr>
                  <w:tcW w:w="1494"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6-18-01-12</w:t>
                  </w:r>
                </w:p>
              </w:tc>
              <w:tc>
                <w:tcPr>
                  <w:tcW w:w="1519" w:type="dxa"/>
                  <w:tcBorders>
                    <w:top w:val="single" w:color="auto" w:sz="4" w:space="0"/>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432</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345</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87</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1.25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铣工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6-18-01-02</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348</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279</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1.25 </w:t>
                  </w:r>
                </w:p>
              </w:tc>
            </w:tr>
            <w:tr>
              <w:tblPrEx>
                <w:shd w:val="clear" w:color="auto" w:fill="DAEEF3" w:themeFill="accent5" w:themeFillTint="33"/>
                <w:tblLayout w:type="fixed"/>
                <w:tblCellMar>
                  <w:top w:w="0" w:type="dxa"/>
                  <w:left w:w="108" w:type="dxa"/>
                  <w:bottom w:w="0" w:type="dxa"/>
                  <w:right w:w="108" w:type="dxa"/>
                </w:tblCellMar>
              </w:tblPrEx>
              <w:trPr>
                <w:trHeight w:val="44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商品营业员</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4-01-02-03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327</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258</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69</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1.27 </w:t>
                  </w:r>
                </w:p>
              </w:tc>
            </w:tr>
            <w:tr>
              <w:tblPrEx>
                <w:shd w:val="clear" w:color="auto" w:fill="DAEEF3" w:themeFill="accent5" w:themeFillTint="33"/>
                <w:tblLayout w:type="fixed"/>
                <w:tblCellMar>
                  <w:top w:w="0" w:type="dxa"/>
                  <w:left w:w="108" w:type="dxa"/>
                  <w:bottom w:w="0" w:type="dxa"/>
                  <w:right w:w="108" w:type="dxa"/>
                </w:tblCellMar>
              </w:tblPrEx>
              <w:trPr>
                <w:trHeight w:val="457"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187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电力电容器及其装置制造工</w:t>
                  </w:r>
                </w:p>
              </w:tc>
              <w:tc>
                <w:tcPr>
                  <w:tcW w:w="1494"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6-24-02-03</w:t>
                  </w:r>
                </w:p>
              </w:tc>
              <w:tc>
                <w:tcPr>
                  <w:tcW w:w="151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336</w:t>
                  </w:r>
                </w:p>
              </w:tc>
              <w:tc>
                <w:tcPr>
                  <w:tcW w:w="1350"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276</w:t>
                  </w:r>
                </w:p>
              </w:tc>
              <w:tc>
                <w:tcPr>
                  <w:tcW w:w="1012"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60</w:t>
                  </w:r>
                </w:p>
              </w:tc>
              <w:tc>
                <w:tcPr>
                  <w:tcW w:w="1183"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1.22 </w:t>
                  </w:r>
                </w:p>
              </w:tc>
            </w:tr>
          </w:tbl>
          <w:p>
            <w:pPr>
              <w:widowControl/>
              <w:spacing w:line="360" w:lineRule="auto"/>
              <w:ind w:right="252" w:rightChars="120"/>
              <w:jc w:val="center"/>
              <w:rPr>
                <w:rFonts w:ascii="宋体" w:hAnsi="宋体" w:cs="宋体"/>
                <w:b/>
                <w:bCs/>
                <w:color w:val="FF0000"/>
                <w:kern w:val="0"/>
                <w:sz w:val="24"/>
              </w:rPr>
            </w:pPr>
          </w:p>
        </w:tc>
      </w:tr>
    </w:tbl>
    <w:p>
      <w:pPr>
        <w:widowControl/>
        <w:spacing w:before="100" w:beforeAutospacing="1" w:after="100" w:afterAutospacing="1" w:line="360" w:lineRule="auto"/>
        <w:ind w:firstLine="480" w:firstLineChars="200"/>
        <w:jc w:val="left"/>
        <w:rPr>
          <w:rFonts w:ascii="宋体" w:hAnsi="宋体" w:cs="宋体"/>
          <w:kern w:val="0"/>
          <w:sz w:val="24"/>
        </w:rPr>
      </w:pPr>
    </w:p>
    <w:p>
      <w:pPr>
        <w:adjustRightInd w:val="0"/>
        <w:snapToGrid w:val="0"/>
        <w:spacing w:line="360" w:lineRule="auto"/>
        <w:jc w:val="center"/>
        <w:rPr>
          <w:rFonts w:ascii="宋体" w:hAnsi="宋体"/>
          <w:sz w:val="24"/>
        </w:rPr>
      </w:pPr>
      <w:r>
        <w:rPr>
          <w:rFonts w:hint="eastAsia" w:ascii="宋体" w:hAnsi="宋体"/>
          <w:sz w:val="24"/>
        </w:rPr>
        <w:t>表</w:t>
      </w:r>
      <w:r>
        <w:rPr>
          <w:rFonts w:hint="eastAsia" w:ascii="宋体" w:hAnsi="宋体"/>
          <w:sz w:val="24"/>
          <w:lang w:val="en-US" w:eastAsia="zh-CN"/>
        </w:rPr>
        <w:t>7</w:t>
      </w:r>
      <w:r>
        <w:rPr>
          <w:rFonts w:hint="eastAsia" w:ascii="宋体" w:hAnsi="宋体"/>
          <w:sz w:val="24"/>
        </w:rPr>
        <w:t>.</w:t>
      </w:r>
      <w:r>
        <w:rPr>
          <w:rFonts w:hint="eastAsia" w:ascii="宋体" w:hAnsi="宋体"/>
          <w:sz w:val="24"/>
          <w:lang w:val="en-US" w:eastAsia="zh-CN"/>
        </w:rPr>
        <w:t xml:space="preserve"> </w:t>
      </w:r>
      <w:r>
        <w:rPr>
          <w:rFonts w:hint="eastAsia" w:ascii="宋体" w:hAnsi="宋体"/>
          <w:sz w:val="24"/>
        </w:rPr>
        <w:t>需求小于求职缺口最大的十个职业</w:t>
      </w:r>
    </w:p>
    <w:tbl>
      <w:tblPr>
        <w:tblStyle w:val="8"/>
        <w:tblW w:w="9555" w:type="dxa"/>
        <w:tblInd w:w="93" w:type="dxa"/>
        <w:shd w:val="clear" w:color="auto" w:fill="DAEEF3" w:themeFill="accent5" w:themeFillTint="33"/>
        <w:tblLayout w:type="fixed"/>
        <w:tblCellMar>
          <w:top w:w="0" w:type="dxa"/>
          <w:left w:w="108" w:type="dxa"/>
          <w:bottom w:w="0" w:type="dxa"/>
          <w:right w:w="108" w:type="dxa"/>
        </w:tblCellMar>
      </w:tblPr>
      <w:tblGrid>
        <w:gridCol w:w="458"/>
        <w:gridCol w:w="2199"/>
        <w:gridCol w:w="1487"/>
        <w:gridCol w:w="1487"/>
        <w:gridCol w:w="1487"/>
        <w:gridCol w:w="1126"/>
        <w:gridCol w:w="1311"/>
      </w:tblGrid>
      <w:tr>
        <w:tblPrEx>
          <w:shd w:val="clear" w:color="auto" w:fill="DAEEF3" w:themeFill="accent5" w:themeFillTint="33"/>
          <w:tblLayout w:type="fixed"/>
          <w:tblCellMar>
            <w:top w:w="0" w:type="dxa"/>
            <w:left w:w="108" w:type="dxa"/>
            <w:bottom w:w="0" w:type="dxa"/>
            <w:right w:w="108" w:type="dxa"/>
          </w:tblCellMar>
        </w:tblPrEx>
        <w:trPr>
          <w:trHeight w:val="402" w:hRule="atLeast"/>
        </w:trPr>
        <w:tc>
          <w:tcPr>
            <w:tcW w:w="2657" w:type="dxa"/>
            <w:gridSpan w:val="2"/>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w:t>
            </w:r>
          </w:p>
        </w:tc>
        <w:tc>
          <w:tcPr>
            <w:tcW w:w="1487" w:type="dxa"/>
            <w:vMerge w:val="restart"/>
            <w:tcBorders>
              <w:top w:val="single" w:color="auto" w:sz="4" w:space="0"/>
              <w:left w:val="single" w:color="auto" w:sz="4" w:space="0"/>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职业代码</w:t>
            </w:r>
          </w:p>
        </w:tc>
        <w:tc>
          <w:tcPr>
            <w:tcW w:w="5411" w:type="dxa"/>
            <w:gridSpan w:val="4"/>
            <w:tcBorders>
              <w:top w:val="single" w:color="auto" w:sz="4" w:space="0"/>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劳动力供求人数比较</w:t>
            </w:r>
          </w:p>
        </w:tc>
      </w:tr>
      <w:tr>
        <w:tblPrEx>
          <w:shd w:val="clear" w:color="auto" w:fill="DAEEF3" w:themeFill="accent5" w:themeFillTint="33"/>
          <w:tblLayout w:type="fixed"/>
          <w:tblCellMar>
            <w:top w:w="0" w:type="dxa"/>
            <w:left w:w="108" w:type="dxa"/>
            <w:bottom w:w="0" w:type="dxa"/>
            <w:right w:w="108" w:type="dxa"/>
          </w:tblCellMar>
        </w:tblPrEx>
        <w:trPr>
          <w:trHeight w:val="390" w:hRule="atLeast"/>
        </w:trPr>
        <w:tc>
          <w:tcPr>
            <w:tcW w:w="2657" w:type="dxa"/>
            <w:gridSpan w:val="2"/>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87" w:type="dxa"/>
            <w:vMerge w:val="continue"/>
            <w:tcBorders>
              <w:top w:val="single" w:color="auto" w:sz="4" w:space="0"/>
              <w:left w:val="single" w:color="auto" w:sz="4" w:space="0"/>
              <w:bottom w:val="single" w:color="auto" w:sz="4" w:space="0"/>
              <w:right w:val="single" w:color="auto" w:sz="4" w:space="0"/>
            </w:tcBorders>
            <w:shd w:val="clear" w:color="auto" w:fill="92CDDC" w:themeFill="accent5" w:themeFillTint="99"/>
            <w:vAlign w:val="center"/>
          </w:tcPr>
          <w:p>
            <w:pPr>
              <w:widowControl/>
              <w:spacing w:line="360" w:lineRule="auto"/>
              <w:jc w:val="left"/>
              <w:rPr>
                <w:rFonts w:ascii="宋体" w:hAnsi="宋体" w:cs="宋体"/>
                <w:b/>
                <w:bCs/>
                <w:kern w:val="0"/>
                <w:sz w:val="24"/>
              </w:rPr>
            </w:pP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需求人数</w:t>
            </w:r>
          </w:p>
        </w:tc>
        <w:tc>
          <w:tcPr>
            <w:tcW w:w="1487"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求职人数</w:t>
            </w:r>
          </w:p>
        </w:tc>
        <w:tc>
          <w:tcPr>
            <w:tcW w:w="1126"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缺口数</w:t>
            </w:r>
          </w:p>
        </w:tc>
        <w:tc>
          <w:tcPr>
            <w:tcW w:w="1311" w:type="dxa"/>
            <w:tcBorders>
              <w:top w:val="nil"/>
              <w:left w:val="nil"/>
              <w:bottom w:val="single" w:color="auto" w:sz="4" w:space="0"/>
              <w:right w:val="single" w:color="auto" w:sz="4" w:space="0"/>
            </w:tcBorders>
            <w:shd w:val="clear" w:color="auto" w:fill="92CDDC" w:themeFill="accent5" w:themeFillTint="99"/>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求人倍率</w:t>
            </w:r>
          </w:p>
        </w:tc>
      </w:tr>
      <w:tr>
        <w:tblPrEx>
          <w:shd w:val="clear" w:color="auto" w:fill="DAEEF3" w:themeFill="accent5" w:themeFillTint="33"/>
          <w:tblLayout w:type="fixed"/>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计量员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4-08-05-06</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84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147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-63</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0.57 </w:t>
            </w:r>
          </w:p>
        </w:tc>
      </w:tr>
      <w:tr>
        <w:tblPrEx>
          <w:shd w:val="clear" w:color="auto" w:fill="DAEEF3" w:themeFill="accent5" w:themeFillTint="33"/>
          <w:tblLayout w:type="fixed"/>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2</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行政办事员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3-01-01-01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129</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189</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0.68 </w:t>
            </w:r>
          </w:p>
        </w:tc>
      </w:tr>
      <w:tr>
        <w:tblPrEx>
          <w:shd w:val="clear" w:color="auto" w:fill="DAEEF3" w:themeFill="accent5" w:themeFillTint="33"/>
          <w:tblLayout w:type="fixed"/>
          <w:tblCellMar>
            <w:top w:w="0" w:type="dxa"/>
            <w:left w:w="108" w:type="dxa"/>
            <w:bottom w:w="0" w:type="dxa"/>
            <w:right w:w="108" w:type="dxa"/>
          </w:tblCellMar>
        </w:tblPrEx>
        <w:trPr>
          <w:trHeight w:val="390"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3</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驾驶员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4-02-02-01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54</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111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-57</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0.49 </w:t>
            </w:r>
          </w:p>
        </w:tc>
      </w:tr>
      <w:tr>
        <w:tblPrEx>
          <w:tblLayout w:type="fixed"/>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4</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仓储管理员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4-02-06-01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111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165</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-54</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0.67 </w:t>
            </w:r>
          </w:p>
        </w:tc>
      </w:tr>
      <w:tr>
        <w:tblPrEx>
          <w:shd w:val="clear" w:color="auto" w:fill="DAEEF3" w:themeFill="accent5" w:themeFillTint="33"/>
          <w:tblLayout w:type="fixed"/>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5</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数字媒体艺术专业人员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2-09-06-07</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96</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-51</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0.47 </w:t>
            </w:r>
          </w:p>
        </w:tc>
      </w:tr>
      <w:tr>
        <w:tblPrEx>
          <w:shd w:val="clear" w:color="auto" w:fill="DAEEF3" w:themeFill="accent5" w:themeFillTint="33"/>
          <w:tblLayout w:type="fixed"/>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6</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动画设计人员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2-09-06-03</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126</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177</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-51</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0.71 </w:t>
            </w:r>
          </w:p>
        </w:tc>
      </w:tr>
      <w:tr>
        <w:tblPrEx>
          <w:shd w:val="clear" w:color="auto" w:fill="DAEEF3" w:themeFill="accent5" w:themeFillTint="33"/>
          <w:tblLayout w:type="fixed"/>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7</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证券交易员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4-05-02-01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45</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96</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-51</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0.47 </w:t>
            </w:r>
          </w:p>
        </w:tc>
      </w:tr>
      <w:tr>
        <w:tblPrEx>
          <w:shd w:val="clear" w:color="auto" w:fill="DAEEF3" w:themeFill="accent5" w:themeFillTint="33"/>
          <w:tblLayout w:type="fixed"/>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8</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会计专业人员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2-06-03-00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36</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81</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-45</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0.44 </w:t>
            </w:r>
          </w:p>
        </w:tc>
      </w:tr>
      <w:tr>
        <w:tblPrEx>
          <w:shd w:val="clear" w:color="auto" w:fill="DAEEF3" w:themeFill="accent5" w:themeFillTint="33"/>
          <w:tblLayout w:type="fixed"/>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9</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物业管理员</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4-06-01-01</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60</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90</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-30</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0.67 </w:t>
            </w:r>
          </w:p>
        </w:tc>
      </w:tr>
      <w:tr>
        <w:tblPrEx>
          <w:tblLayout w:type="fixed"/>
          <w:tblCellMar>
            <w:top w:w="0" w:type="dxa"/>
            <w:left w:w="108" w:type="dxa"/>
            <w:bottom w:w="0" w:type="dxa"/>
            <w:right w:w="108" w:type="dxa"/>
          </w:tblCellMar>
        </w:tblPrEx>
        <w:trPr>
          <w:trHeight w:val="402" w:hRule="atLeast"/>
        </w:trPr>
        <w:tc>
          <w:tcPr>
            <w:tcW w:w="458" w:type="dxa"/>
            <w:tcBorders>
              <w:top w:val="nil"/>
              <w:left w:val="single" w:color="auto" w:sz="4" w:space="0"/>
              <w:bottom w:val="single" w:color="auto" w:sz="4" w:space="0"/>
              <w:right w:val="single" w:color="auto" w:sz="4" w:space="0"/>
            </w:tcBorders>
            <w:shd w:val="clear" w:color="auto" w:fill="DAEEF3" w:themeFill="accent5" w:themeFillTint="33"/>
            <w:noWrap/>
            <w:vAlign w:val="center"/>
          </w:tcPr>
          <w:p>
            <w:pPr>
              <w:widowControl/>
              <w:spacing w:line="360" w:lineRule="auto"/>
              <w:jc w:val="center"/>
              <w:rPr>
                <w:rFonts w:ascii="宋体" w:hAnsi="宋体" w:cs="宋体"/>
                <w:b/>
                <w:bCs/>
                <w:kern w:val="0"/>
                <w:sz w:val="24"/>
              </w:rPr>
            </w:pPr>
            <w:r>
              <w:rPr>
                <w:rFonts w:hint="eastAsia" w:ascii="宋体" w:hAnsi="宋体" w:cs="宋体"/>
                <w:b/>
                <w:bCs/>
                <w:kern w:val="0"/>
                <w:sz w:val="24"/>
              </w:rPr>
              <w:t>10</w:t>
            </w:r>
          </w:p>
        </w:tc>
        <w:tc>
          <w:tcPr>
            <w:tcW w:w="2199"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秘书</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3-01-02-02</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39</w:t>
            </w:r>
          </w:p>
        </w:tc>
        <w:tc>
          <w:tcPr>
            <w:tcW w:w="1487"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60</w:t>
            </w:r>
          </w:p>
        </w:tc>
        <w:tc>
          <w:tcPr>
            <w:tcW w:w="1126"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-21</w:t>
            </w:r>
          </w:p>
        </w:tc>
        <w:tc>
          <w:tcPr>
            <w:tcW w:w="1311" w:type="dxa"/>
            <w:tcBorders>
              <w:top w:val="nil"/>
              <w:left w:val="nil"/>
              <w:bottom w:val="single" w:color="auto" w:sz="4" w:space="0"/>
              <w:right w:val="single" w:color="auto" w:sz="4" w:space="0"/>
            </w:tcBorders>
            <w:shd w:val="clear" w:color="auto" w:fill="DAEEF3" w:themeFill="accent5" w:themeFillTint="33"/>
            <w:noWrap/>
            <w:vAlign w:val="center"/>
          </w:tcPr>
          <w:p>
            <w:pPr>
              <w:keepNext w:val="0"/>
              <w:keepLines w:val="0"/>
              <w:widowControl/>
              <w:suppressLineNumbers w:val="0"/>
              <w:jc w:val="center"/>
              <w:textAlignment w:val="center"/>
              <w:rPr>
                <w:sz w:val="24"/>
              </w:rPr>
            </w:pPr>
            <w:r>
              <w:rPr>
                <w:rFonts w:hint="eastAsia" w:ascii="宋体" w:hAnsi="宋体" w:eastAsia="宋体" w:cs="宋体"/>
                <w:i w:val="0"/>
                <w:iCs w:val="0"/>
                <w:color w:val="000000"/>
                <w:kern w:val="0"/>
                <w:sz w:val="20"/>
                <w:szCs w:val="20"/>
                <w:u w:val="none"/>
                <w:lang w:val="en-US" w:eastAsia="zh-CN" w:bidi="ar"/>
              </w:rPr>
              <w:t xml:space="preserve">0.65 </w:t>
            </w:r>
          </w:p>
        </w:tc>
      </w:tr>
    </w:tbl>
    <w:p>
      <w:pPr>
        <w:adjustRightInd w:val="0"/>
        <w:snapToGrid w:val="0"/>
        <w:spacing w:line="360" w:lineRule="auto"/>
        <w:jc w:val="center"/>
        <w:rPr>
          <w:rFonts w:ascii="宋体" w:hAnsi="宋体"/>
          <w:sz w:val="24"/>
        </w:rPr>
      </w:pPr>
    </w:p>
    <w:p>
      <w:pPr>
        <w:widowControl/>
        <w:spacing w:before="100" w:beforeAutospacing="1" w:after="100" w:afterAutospacing="1" w:line="360" w:lineRule="auto"/>
        <w:ind w:firstLine="480" w:firstLineChars="200"/>
        <w:jc w:val="left"/>
        <w:rPr>
          <w:rFonts w:ascii="宋体" w:hAnsi="宋体"/>
          <w:color w:val="FF0000"/>
          <w:sz w:val="24"/>
        </w:rPr>
      </w:pPr>
      <w:r>
        <w:rPr>
          <w:rFonts w:hint="eastAsia" w:ascii="宋体" w:hAnsi="宋体" w:cs="宋体"/>
          <w:kern w:val="0"/>
          <w:sz w:val="24"/>
        </w:rPr>
        <w:t>从表6、表7反映出，本季度需求缺口排名前三位的是：</w:t>
      </w:r>
      <w:r>
        <w:rPr>
          <w:rFonts w:hint="eastAsia" w:ascii="宋体" w:hAnsi="宋体" w:cs="宋体"/>
          <w:kern w:val="0"/>
          <w:sz w:val="24"/>
          <w:lang w:val="en-US" w:eastAsia="zh-CN"/>
        </w:rPr>
        <w:t>焊工、</w:t>
      </w:r>
      <w:r>
        <w:rPr>
          <w:rFonts w:hint="eastAsia" w:ascii="宋体" w:hAnsi="宋体" w:cs="宋体"/>
          <w:kern w:val="0"/>
          <w:sz w:val="24"/>
        </w:rPr>
        <w:t>纺纱工、缝纫工，与去年同期及上期情况基本一致，说明这些工种需求量较大，亦与我市产业结构的分布吻合，裁剪缝纫工、纺纱人员、一线操作工等工种依旧占我市人力资源市场需求的主体位置。</w:t>
      </w:r>
    </w:p>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（五）</w:t>
      </w:r>
      <w:r>
        <w:rPr>
          <w:rFonts w:ascii="宋体" w:hAnsi="宋体"/>
          <w:b/>
          <w:sz w:val="24"/>
        </w:rPr>
        <w:t>、求职人员分类</w:t>
      </w:r>
    </w:p>
    <w:p>
      <w:pPr>
        <w:adjustRightInd w:val="0"/>
        <w:snapToGrid w:val="0"/>
        <w:spacing w:line="360" w:lineRule="auto"/>
        <w:ind w:firstLine="480" w:firstLineChars="200"/>
        <w:rPr>
          <w:rFonts w:ascii="宋体" w:hAnsi="宋体" w:cs="宋体"/>
          <w:kern w:val="0"/>
          <w:sz w:val="24"/>
        </w:rPr>
      </w:pPr>
      <w:r>
        <w:rPr>
          <w:rFonts w:hint="eastAsia" w:ascii="宋体" w:hAnsi="宋体" w:cs="宋体"/>
          <w:kern w:val="0"/>
          <w:sz w:val="24"/>
        </w:rPr>
        <w:t>根据求职人员类别分析，本季度中列前三位的求职者分别是外埠人员3</w:t>
      </w:r>
      <w:r>
        <w:rPr>
          <w:rFonts w:hint="eastAsia" w:ascii="宋体" w:hAnsi="宋体" w:cs="宋体"/>
          <w:kern w:val="0"/>
          <w:sz w:val="24"/>
          <w:lang w:val="en-US" w:eastAsia="zh-CN"/>
        </w:rPr>
        <w:t>1</w:t>
      </w:r>
      <w:r>
        <w:rPr>
          <w:rFonts w:hint="eastAsia" w:ascii="宋体" w:hAnsi="宋体" w:cs="宋体"/>
          <w:kern w:val="0"/>
          <w:sz w:val="24"/>
        </w:rPr>
        <w:t>.</w:t>
      </w:r>
      <w:r>
        <w:rPr>
          <w:rFonts w:hint="eastAsia" w:ascii="宋体" w:hAnsi="宋体" w:cs="宋体"/>
          <w:kern w:val="0"/>
          <w:sz w:val="24"/>
          <w:lang w:val="en-US" w:eastAsia="zh-CN"/>
        </w:rPr>
        <w:t>27</w:t>
      </w:r>
      <w:r>
        <w:rPr>
          <w:rFonts w:hint="eastAsia" w:ascii="宋体" w:hAnsi="宋体" w:cs="宋体"/>
          <w:kern w:val="0"/>
          <w:sz w:val="24"/>
        </w:rPr>
        <w:t>%，本市农村人员2</w:t>
      </w:r>
      <w:r>
        <w:rPr>
          <w:rFonts w:hint="eastAsia" w:ascii="宋体" w:hAnsi="宋体" w:cs="宋体"/>
          <w:kern w:val="0"/>
          <w:sz w:val="24"/>
          <w:lang w:val="en-US" w:eastAsia="zh-CN"/>
        </w:rPr>
        <w:t>2</w:t>
      </w:r>
      <w:r>
        <w:rPr>
          <w:rFonts w:hint="eastAsia" w:ascii="宋体" w:hAnsi="宋体" w:cs="宋体"/>
          <w:kern w:val="0"/>
          <w:sz w:val="24"/>
        </w:rPr>
        <w:t>.</w:t>
      </w:r>
      <w:r>
        <w:rPr>
          <w:rFonts w:hint="eastAsia" w:ascii="宋体" w:hAnsi="宋体" w:cs="宋体"/>
          <w:kern w:val="0"/>
          <w:sz w:val="24"/>
          <w:lang w:val="en-US" w:eastAsia="zh-CN"/>
        </w:rPr>
        <w:t>2</w:t>
      </w:r>
      <w:r>
        <w:rPr>
          <w:rFonts w:hint="eastAsia" w:ascii="宋体" w:hAnsi="宋体" w:cs="宋体"/>
          <w:kern w:val="0"/>
          <w:sz w:val="24"/>
        </w:rPr>
        <w:t>6%，失业人员</w:t>
      </w:r>
      <w:r>
        <w:rPr>
          <w:rFonts w:hint="eastAsia" w:ascii="宋体" w:hAnsi="宋体" w:cs="宋体"/>
          <w:kern w:val="0"/>
          <w:sz w:val="24"/>
          <w:lang w:val="en-US" w:eastAsia="zh-CN"/>
        </w:rPr>
        <w:t>21</w:t>
      </w:r>
      <w:r>
        <w:rPr>
          <w:rFonts w:hint="eastAsia" w:ascii="宋体" w:hAnsi="宋体" w:cs="宋体"/>
          <w:kern w:val="0"/>
          <w:sz w:val="24"/>
        </w:rPr>
        <w:t>.</w:t>
      </w:r>
      <w:r>
        <w:rPr>
          <w:rFonts w:hint="eastAsia" w:ascii="宋体" w:hAnsi="宋体" w:cs="宋体"/>
          <w:kern w:val="0"/>
          <w:sz w:val="24"/>
          <w:lang w:val="en-US" w:eastAsia="zh-CN"/>
        </w:rPr>
        <w:t>75</w:t>
      </w:r>
      <w:r>
        <w:rPr>
          <w:rFonts w:hint="eastAsia" w:ascii="宋体" w:hAnsi="宋体" w:cs="宋体"/>
          <w:kern w:val="0"/>
          <w:sz w:val="24"/>
        </w:rPr>
        <w:t>%。这一情况与去年同期变化不大。说明求职者中，外来劳动力和本市农村人员一直占求职者的主体。</w:t>
      </w:r>
    </w:p>
    <w:p>
      <w:pPr>
        <w:adjustRightInd w:val="0"/>
        <w:snapToGrid w:val="0"/>
        <w:spacing w:line="360" w:lineRule="auto"/>
        <w:ind w:firstLine="480" w:firstLineChars="200"/>
        <w:rPr>
          <w:rFonts w:ascii="宋体" w:hAnsi="宋体" w:cs="宋体"/>
          <w:kern w:val="0"/>
          <w:sz w:val="24"/>
        </w:rPr>
      </w:pPr>
    </w:p>
    <w:p>
      <w:pPr>
        <w:adjustRightInd w:val="0"/>
        <w:snapToGrid w:val="0"/>
        <w:spacing w:line="360" w:lineRule="auto"/>
        <w:jc w:val="center"/>
        <w:rPr>
          <w:rFonts w:ascii="宋体" w:hAnsi="宋体"/>
          <w:sz w:val="24"/>
        </w:rPr>
      </w:pPr>
      <w:r>
        <w:rPr>
          <w:rFonts w:hint="eastAsia" w:ascii="宋体" w:hAnsi="宋体"/>
          <w:sz w:val="24"/>
        </w:rPr>
        <w:t>表8</w:t>
      </w:r>
      <w:r>
        <w:rPr>
          <w:rFonts w:hint="eastAsia" w:ascii="宋体" w:hAnsi="宋体"/>
          <w:sz w:val="24"/>
          <w:lang w:val="en-US" w:eastAsia="zh-CN"/>
        </w:rPr>
        <w:t>.</w:t>
      </w:r>
      <w:bookmarkStart w:id="0" w:name="_GoBack"/>
      <w:bookmarkEnd w:id="0"/>
      <w:r>
        <w:rPr>
          <w:rFonts w:hint="eastAsia" w:ascii="宋体" w:hAnsi="宋体"/>
          <w:sz w:val="24"/>
        </w:rPr>
        <w:t xml:space="preserve"> </w:t>
      </w:r>
      <w:r>
        <w:rPr>
          <w:rFonts w:ascii="宋体" w:hAnsi="宋体"/>
          <w:sz w:val="24"/>
        </w:rPr>
        <w:t>按求职人员类别分组的求职人数</w:t>
      </w:r>
    </w:p>
    <w:tbl>
      <w:tblPr>
        <w:tblStyle w:val="8"/>
        <w:tblW w:w="5783" w:type="dxa"/>
        <w:jc w:val="center"/>
        <w:tblCellSpacing w:w="0"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
      <w:tblGrid>
        <w:gridCol w:w="2190"/>
        <w:gridCol w:w="1796"/>
        <w:gridCol w:w="1797"/>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求职人员类别</w:t>
            </w:r>
          </w:p>
        </w:tc>
        <w:tc>
          <w:tcPr>
            <w:tcW w:w="1796" w:type="dxa"/>
            <w:tcBorders>
              <w:top w:val="single" w:color="auto" w:sz="8" w:space="0"/>
              <w:left w:val="single" w:color="000000"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求职人数(人)</w:t>
            </w:r>
          </w:p>
        </w:tc>
        <w:tc>
          <w:tcPr>
            <w:tcW w:w="1797" w:type="dxa"/>
            <w:tcBorders>
              <w:top w:val="single" w:color="auto" w:sz="8" w:space="0"/>
              <w:left w:val="single" w:color="auto" w:sz="8" w:space="0"/>
              <w:bottom w:val="single" w:color="auto" w:sz="8" w:space="0"/>
              <w:right w:val="single" w:color="auto" w:sz="8" w:space="0"/>
            </w:tcBorders>
            <w:shd w:val="clear" w:color="auto" w:fill="FFFF99"/>
            <w:tcMar>
              <w:top w:w="15" w:type="dxa"/>
              <w:left w:w="15" w:type="dxa"/>
              <w:bottom w:w="15" w:type="dxa"/>
              <w:right w:w="15" w:type="dxa"/>
            </w:tcMar>
            <w:vAlign w:val="center"/>
          </w:tcPr>
          <w:p>
            <w:pPr>
              <w:widowControl/>
              <w:spacing w:line="360" w:lineRule="auto"/>
              <w:jc w:val="center"/>
              <w:rPr>
                <w:rFonts w:ascii="宋体" w:hAnsi="宋体" w:cs="宋体"/>
                <w:kern w:val="0"/>
                <w:sz w:val="24"/>
              </w:rPr>
            </w:pPr>
            <w:r>
              <w:rPr>
                <w:rFonts w:hint="eastAsia" w:ascii="宋体" w:hAnsi="宋体" w:cs="宋体"/>
                <w:kern w:val="0"/>
                <w:sz w:val="24"/>
              </w:rPr>
              <w:t>本季度</w:t>
            </w:r>
          </w:p>
          <w:p>
            <w:pPr>
              <w:widowControl/>
              <w:spacing w:line="360" w:lineRule="auto"/>
              <w:jc w:val="center"/>
              <w:rPr>
                <w:rFonts w:ascii="宋体" w:hAnsi="宋体" w:cs="宋体"/>
                <w:kern w:val="0"/>
                <w:sz w:val="24"/>
              </w:rPr>
            </w:pPr>
            <w:r>
              <w:rPr>
                <w:rFonts w:hint="eastAsia" w:ascii="宋体" w:hAnsi="宋体" w:cs="宋体"/>
                <w:kern w:val="0"/>
                <w:sz w:val="24"/>
              </w:rPr>
              <w:t>所占比重(%)</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新成长失业青年</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4224</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16.27%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其中：应届高校毕业生</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3970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15.29%</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失业人员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5647</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21.75%</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在业人员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2195</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8.45%</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退休人员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在学人员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0.00%</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本市农村人员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5779</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22.26%</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外埠人员</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8118</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31.27%</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0" w:type="dxa"/>
            <w:bottom w:w="0" w:type="dxa"/>
            <w:right w:w="0" w:type="dxa"/>
          </w:tblCellMar>
        </w:tblPrEx>
        <w:trPr>
          <w:trHeight w:val="397" w:hRule="atLeast"/>
          <w:tblCellSpacing w:w="0" w:type="dxa"/>
          <w:jc w:val="center"/>
        </w:trPr>
        <w:tc>
          <w:tcPr>
            <w:tcW w:w="2190" w:type="dxa"/>
            <w:tcBorders>
              <w:top w:val="single" w:color="auto" w:sz="8" w:space="0"/>
              <w:left w:val="single" w:color="auto" w:sz="8" w:space="0"/>
              <w:bottom w:val="single" w:color="auto" w:sz="8" w:space="0"/>
              <w:right w:val="single" w:color="auto" w:sz="8" w:space="0"/>
            </w:tcBorders>
            <w:shd w:val="clear" w:color="auto" w:fill="CCFFCC"/>
            <w:tcMar>
              <w:top w:w="15" w:type="dxa"/>
              <w:left w:w="15" w:type="dxa"/>
              <w:bottom w:w="15" w:type="dxa"/>
              <w:right w:w="15" w:type="dxa"/>
            </w:tcMar>
            <w:vAlign w:val="center"/>
          </w:tcPr>
          <w:p>
            <w:pPr>
              <w:widowControl/>
              <w:spacing w:before="100" w:beforeAutospacing="1" w:after="100" w:afterAutospacing="1" w:line="360" w:lineRule="auto"/>
              <w:jc w:val="center"/>
              <w:rPr>
                <w:rFonts w:ascii="Verdana" w:hAnsi="Verdana" w:cs="宋体"/>
                <w:kern w:val="0"/>
                <w:sz w:val="24"/>
              </w:rPr>
            </w:pPr>
            <w:r>
              <w:rPr>
                <w:rFonts w:hint="eastAsia" w:ascii="仿宋_GB2312" w:hAnsi="Verdana" w:cs="宋体"/>
                <w:kern w:val="0"/>
                <w:sz w:val="24"/>
              </w:rPr>
              <w:t>合计</w:t>
            </w:r>
          </w:p>
        </w:tc>
        <w:tc>
          <w:tcPr>
            <w:tcW w:w="1796" w:type="dxa"/>
            <w:tcBorders>
              <w:top w:val="single" w:color="auto" w:sz="8" w:space="0"/>
              <w:left w:val="single" w:color="000000"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25963</w:t>
            </w:r>
          </w:p>
        </w:tc>
        <w:tc>
          <w:tcPr>
            <w:tcW w:w="1797" w:type="dxa"/>
            <w:tcBorders>
              <w:top w:val="single" w:color="auto" w:sz="8" w:space="0"/>
              <w:left w:val="single" w:color="auto" w:sz="8" w:space="0"/>
              <w:bottom w:val="single" w:color="auto" w:sz="8" w:space="0"/>
              <w:right w:val="single" w:color="auto" w:sz="8" w:space="0"/>
            </w:tcBorders>
            <w:shd w:val="clear" w:color="auto" w:fill="CCFFFF"/>
            <w:tcMar>
              <w:top w:w="15" w:type="dxa"/>
              <w:left w:w="15" w:type="dxa"/>
              <w:bottom w:w="15" w:type="dxa"/>
              <w:right w:w="15" w:type="dxa"/>
            </w:tcMar>
            <w:vAlign w:val="center"/>
          </w:tcPr>
          <w:p>
            <w:pPr>
              <w:jc w:val="center"/>
              <w:rPr>
                <w:rFonts w:hint="eastAsia"/>
                <w:sz w:val="24"/>
                <w:lang w:val="en-US" w:eastAsia="zh-CN"/>
              </w:rPr>
            </w:pPr>
            <w:r>
              <w:rPr>
                <w:rFonts w:hint="eastAsia"/>
                <w:sz w:val="24"/>
                <w:lang w:val="en-US" w:eastAsia="zh-CN"/>
              </w:rPr>
              <w:t>100.00%</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b/>
          <w:sz w:val="24"/>
        </w:rPr>
      </w:pPr>
      <w:r>
        <w:rPr>
          <w:rFonts w:hint="eastAsia" w:ascii="宋体" w:hAnsi="宋体"/>
          <w:b/>
          <w:sz w:val="24"/>
        </w:rPr>
        <w:t>（六）</w:t>
      </w:r>
      <w:r>
        <w:rPr>
          <w:rFonts w:ascii="宋体" w:hAnsi="宋体"/>
          <w:b/>
          <w:sz w:val="24"/>
        </w:rPr>
        <w:t>、招聘、应聘条件分析</w:t>
      </w:r>
    </w:p>
    <w:p>
      <w:pPr>
        <w:adjustRightInd w:val="0"/>
        <w:snapToGrid w:val="0"/>
        <w:spacing w:line="360" w:lineRule="auto"/>
        <w:rPr>
          <w:rFonts w:ascii="宋体" w:hAnsi="宋体"/>
          <w:sz w:val="24"/>
        </w:rPr>
      </w:pPr>
      <w:r>
        <w:rPr>
          <w:rFonts w:hint="eastAsia" w:ascii="宋体" w:hAnsi="宋体"/>
          <w:sz w:val="24"/>
        </w:rPr>
        <w:t xml:space="preserve">1. </w:t>
      </w:r>
      <w:r>
        <w:rPr>
          <w:rFonts w:ascii="宋体" w:hAnsi="宋体"/>
          <w:sz w:val="24"/>
        </w:rPr>
        <w:t>年龄</w:t>
      </w:r>
    </w:p>
    <w:p>
      <w:pPr>
        <w:spacing w:line="360" w:lineRule="auto"/>
        <w:ind w:firstLine="480" w:firstLineChars="200"/>
        <w:rPr>
          <w:rFonts w:ascii="宋体" w:hAnsi="宋体" w:cs="宋体"/>
          <w:kern w:val="0"/>
          <w:sz w:val="24"/>
        </w:rPr>
      </w:pPr>
      <w:r>
        <w:rPr>
          <w:rFonts w:ascii="宋体" w:hAnsi="宋体" w:cs="宋体"/>
          <w:kern w:val="0"/>
          <w:sz w:val="24"/>
        </w:rPr>
        <w:t>从</w:t>
      </w:r>
      <w:r>
        <w:rPr>
          <w:rFonts w:hint="eastAsia" w:ascii="宋体" w:hAnsi="宋体" w:cs="宋体"/>
          <w:kern w:val="0"/>
          <w:sz w:val="24"/>
        </w:rPr>
        <w:t>下图</w:t>
      </w:r>
      <w:r>
        <w:rPr>
          <w:rFonts w:ascii="宋体" w:hAnsi="宋体" w:cs="宋体"/>
          <w:kern w:val="0"/>
          <w:sz w:val="24"/>
        </w:rPr>
        <w:t>可以看出</w:t>
      </w:r>
      <w:r>
        <w:rPr>
          <w:rFonts w:hint="eastAsia" w:ascii="宋体" w:hAnsi="宋体" w:cs="宋体"/>
          <w:kern w:val="0"/>
          <w:sz w:val="24"/>
        </w:rPr>
        <w:t>，</w:t>
      </w:r>
      <w:r>
        <w:rPr>
          <w:rFonts w:ascii="宋体" w:hAnsi="宋体" w:cs="宋体"/>
          <w:kern w:val="0"/>
          <w:sz w:val="24"/>
        </w:rPr>
        <w:t>本季度需求人数最多的是</w:t>
      </w:r>
      <w:r>
        <w:rPr>
          <w:rFonts w:hint="eastAsia" w:ascii="宋体" w:hAnsi="宋体" w:cs="宋体"/>
          <w:kern w:val="0"/>
          <w:sz w:val="24"/>
        </w:rPr>
        <w:t>35-44</w:t>
      </w:r>
      <w:r>
        <w:rPr>
          <w:rFonts w:ascii="宋体" w:hAnsi="宋体" w:cs="宋体"/>
          <w:kern w:val="0"/>
          <w:sz w:val="24"/>
        </w:rPr>
        <w:t>岁这一年龄段，需求比重</w:t>
      </w:r>
      <w:r>
        <w:rPr>
          <w:rFonts w:hint="eastAsia" w:ascii="宋体" w:hAnsi="宋体" w:cs="宋体"/>
          <w:kern w:val="0"/>
          <w:sz w:val="24"/>
        </w:rPr>
        <w:t>为30.</w:t>
      </w:r>
      <w:r>
        <w:rPr>
          <w:rFonts w:hint="eastAsia" w:ascii="宋体" w:hAnsi="宋体" w:cs="宋体"/>
          <w:kern w:val="0"/>
          <w:sz w:val="24"/>
          <w:lang w:val="en-US" w:eastAsia="zh-CN"/>
        </w:rPr>
        <w:t>27</w:t>
      </w:r>
      <w:r>
        <w:rPr>
          <w:rFonts w:ascii="宋体" w:hAnsi="宋体" w:cs="宋体"/>
          <w:kern w:val="0"/>
          <w:sz w:val="24"/>
        </w:rPr>
        <w:t>%，需求量最少的仍然是45岁以上，需求比重仅为</w:t>
      </w:r>
      <w:r>
        <w:rPr>
          <w:rFonts w:hint="eastAsia" w:ascii="宋体" w:hAnsi="宋体" w:cs="宋体"/>
          <w:kern w:val="0"/>
          <w:sz w:val="24"/>
        </w:rPr>
        <w:t>1.</w:t>
      </w:r>
      <w:r>
        <w:rPr>
          <w:rFonts w:hint="eastAsia" w:ascii="宋体" w:hAnsi="宋体" w:cs="宋体"/>
          <w:kern w:val="0"/>
          <w:sz w:val="24"/>
          <w:lang w:val="en-US" w:eastAsia="zh-CN"/>
        </w:rPr>
        <w:t>82</w:t>
      </w:r>
      <w:r>
        <w:rPr>
          <w:rFonts w:ascii="宋体" w:hAnsi="宋体" w:cs="宋体"/>
          <w:kern w:val="0"/>
          <w:sz w:val="24"/>
        </w:rPr>
        <w:t>%</w:t>
      </w:r>
      <w:r>
        <w:rPr>
          <w:rFonts w:hint="eastAsia" w:ascii="宋体" w:hAnsi="宋体" w:cs="宋体"/>
          <w:kern w:val="0"/>
          <w:sz w:val="24"/>
        </w:rPr>
        <w:t>。</w:t>
      </w:r>
      <w:r>
        <w:rPr>
          <w:rFonts w:ascii="宋体" w:hAnsi="宋体" w:cs="宋体"/>
          <w:kern w:val="0"/>
          <w:sz w:val="24"/>
        </w:rPr>
        <w:t>从求职来看，</w:t>
      </w:r>
      <w:r>
        <w:rPr>
          <w:rFonts w:hint="eastAsia" w:ascii="宋体" w:hAnsi="宋体" w:cs="宋体"/>
          <w:kern w:val="0"/>
          <w:sz w:val="24"/>
          <w:lang w:val="en-US" w:eastAsia="zh-CN"/>
        </w:rPr>
        <w:t>25</w:t>
      </w:r>
      <w:r>
        <w:rPr>
          <w:rFonts w:ascii="宋体" w:hAnsi="宋体" w:cs="宋体"/>
          <w:kern w:val="0"/>
          <w:sz w:val="24"/>
        </w:rPr>
        <w:t>-</w:t>
      </w:r>
      <w:r>
        <w:rPr>
          <w:rFonts w:hint="eastAsia" w:ascii="宋体" w:hAnsi="宋体" w:cs="宋体"/>
          <w:kern w:val="0"/>
          <w:sz w:val="24"/>
          <w:lang w:val="en-US" w:eastAsia="zh-CN"/>
        </w:rPr>
        <w:t>3</w:t>
      </w:r>
      <w:r>
        <w:rPr>
          <w:rFonts w:ascii="宋体" w:hAnsi="宋体" w:cs="宋体"/>
          <w:kern w:val="0"/>
          <w:sz w:val="24"/>
        </w:rPr>
        <w:t>4岁和</w:t>
      </w:r>
      <w:r>
        <w:rPr>
          <w:rFonts w:hint="eastAsia" w:ascii="宋体" w:hAnsi="宋体" w:cs="宋体"/>
          <w:kern w:val="0"/>
          <w:sz w:val="24"/>
          <w:lang w:val="en-US" w:eastAsia="zh-CN"/>
        </w:rPr>
        <w:t>3</w:t>
      </w:r>
      <w:r>
        <w:rPr>
          <w:rFonts w:ascii="宋体" w:hAnsi="宋体" w:cs="宋体"/>
          <w:kern w:val="0"/>
          <w:sz w:val="24"/>
        </w:rPr>
        <w:t>5-</w:t>
      </w:r>
      <w:r>
        <w:rPr>
          <w:rFonts w:hint="eastAsia" w:ascii="宋体" w:hAnsi="宋体" w:cs="宋体"/>
          <w:kern w:val="0"/>
          <w:sz w:val="24"/>
          <w:lang w:val="en-US" w:eastAsia="zh-CN"/>
        </w:rPr>
        <w:t>4</w:t>
      </w:r>
      <w:r>
        <w:rPr>
          <w:rFonts w:ascii="宋体" w:hAnsi="宋体" w:cs="宋体"/>
          <w:kern w:val="0"/>
          <w:sz w:val="24"/>
        </w:rPr>
        <w:t>4岁的求职人群是求职主体，求职比重分别为</w:t>
      </w:r>
      <w:r>
        <w:rPr>
          <w:rFonts w:hint="eastAsia" w:ascii="宋体" w:hAnsi="宋体" w:cs="宋体"/>
          <w:kern w:val="0"/>
          <w:sz w:val="24"/>
          <w:lang w:val="en-US" w:eastAsia="zh-CN"/>
        </w:rPr>
        <w:t>31.98</w:t>
      </w:r>
      <w:r>
        <w:rPr>
          <w:rFonts w:ascii="宋体" w:hAnsi="宋体" w:cs="宋体"/>
          <w:kern w:val="0"/>
          <w:sz w:val="24"/>
        </w:rPr>
        <w:t>%和</w:t>
      </w:r>
      <w:r>
        <w:rPr>
          <w:rFonts w:hint="eastAsia" w:ascii="宋体" w:hAnsi="宋体" w:cs="宋体"/>
          <w:kern w:val="0"/>
          <w:sz w:val="24"/>
          <w:lang w:val="en-US" w:eastAsia="zh-CN"/>
        </w:rPr>
        <w:t>33.96</w:t>
      </w:r>
      <w:r>
        <w:rPr>
          <w:rFonts w:ascii="宋体" w:hAnsi="宋体" w:cs="宋体"/>
          <w:kern w:val="0"/>
          <w:sz w:val="24"/>
        </w:rPr>
        <w:t>%。</w:t>
      </w:r>
    </w:p>
    <w:p>
      <w:pPr>
        <w:spacing w:line="360" w:lineRule="auto"/>
        <w:ind w:firstLine="2400" w:firstLineChars="1000"/>
        <w:rPr>
          <w:rFonts w:ascii="宋体" w:hAnsi="宋体" w:cs="宋体"/>
          <w:kern w:val="0"/>
          <w:sz w:val="24"/>
        </w:rPr>
      </w:pPr>
      <w:r>
        <w:rPr>
          <w:rFonts w:hint="eastAsia" w:ascii="宋体" w:hAnsi="宋体" w:cs="宋体"/>
          <w:kern w:val="0"/>
          <w:sz w:val="24"/>
        </w:rPr>
        <w:t>表</w:t>
      </w:r>
      <w:r>
        <w:rPr>
          <w:rFonts w:hint="eastAsia" w:ascii="宋体" w:hAnsi="宋体" w:cs="宋体"/>
          <w:kern w:val="0"/>
          <w:sz w:val="24"/>
          <w:lang w:val="en-US" w:eastAsia="zh-CN"/>
        </w:rPr>
        <w:t>9</w:t>
      </w:r>
      <w:r>
        <w:rPr>
          <w:rFonts w:hint="eastAsia" w:ascii="宋体" w:hAnsi="宋体" w:cs="宋体"/>
          <w:kern w:val="0"/>
          <w:sz w:val="24"/>
        </w:rPr>
        <w:t>. 按年龄分组的供求人数</w:t>
      </w:r>
    </w:p>
    <w:tbl>
      <w:tblPr>
        <w:tblStyle w:val="8"/>
        <w:tblW w:w="6996" w:type="dxa"/>
        <w:jc w:val="center"/>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401"/>
        <w:gridCol w:w="990"/>
        <w:gridCol w:w="1215"/>
        <w:gridCol w:w="915"/>
        <w:gridCol w:w="1200"/>
        <w:gridCol w:w="127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397" w:hRule="atLeast"/>
          <w:jc w:val="center"/>
        </w:trPr>
        <w:tc>
          <w:tcPr>
            <w:tcW w:w="1401"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年龄</w:t>
            </w:r>
          </w:p>
        </w:tc>
        <w:tc>
          <w:tcPr>
            <w:tcW w:w="559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397" w:hRule="atLeast"/>
          <w:jc w:val="center"/>
        </w:trPr>
        <w:tc>
          <w:tcPr>
            <w:tcW w:w="1401"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left"/>
              <w:rPr>
                <w:rFonts w:ascii="宋体" w:hAnsi="宋体" w:cs="宋体"/>
                <w:kern w:val="0"/>
                <w:sz w:val="24"/>
              </w:rPr>
            </w:pP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12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本季度需求比重（</w:t>
            </w:r>
            <w:r>
              <w:rPr>
                <w:rFonts w:ascii="宋体" w:hAnsi="宋体" w:cs="宋体"/>
                <w:kern w:val="0"/>
                <w:sz w:val="24"/>
              </w:rPr>
              <w:t>%</w:t>
            </w:r>
            <w:r>
              <w:rPr>
                <w:rFonts w:hint="eastAsia" w:ascii="宋体" w:hAnsi="宋体" w:cs="宋体"/>
                <w:kern w:val="0"/>
                <w:sz w:val="24"/>
              </w:rPr>
              <w:t>）</w:t>
            </w:r>
          </w:p>
        </w:tc>
        <w:tc>
          <w:tcPr>
            <w:tcW w:w="91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120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本季度求职比重（</w:t>
            </w:r>
            <w:r>
              <w:rPr>
                <w:rFonts w:ascii="宋体" w:hAnsi="宋体" w:cs="宋体"/>
                <w:kern w:val="0"/>
                <w:sz w:val="24"/>
              </w:rPr>
              <w:t>%</w:t>
            </w:r>
            <w:r>
              <w:rPr>
                <w:rFonts w:hint="eastAsia" w:ascii="宋体" w:hAnsi="宋体" w:cs="宋体"/>
                <w:kern w:val="0"/>
                <w:sz w:val="24"/>
              </w:rPr>
              <w:t>）</w:t>
            </w:r>
          </w:p>
        </w:tc>
        <w:tc>
          <w:tcPr>
            <w:tcW w:w="127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16-24岁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8971</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28.56%</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8321</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32.05%</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default" w:eastAsia="宋体"/>
                <w:sz w:val="24"/>
                <w:lang w:val="en-US" w:eastAsia="zh-CN"/>
              </w:rPr>
            </w:pPr>
            <w:r>
              <w:rPr>
                <w:rFonts w:hint="eastAsia"/>
                <w:sz w:val="24"/>
              </w:rPr>
              <w:t>1.</w:t>
            </w:r>
            <w:r>
              <w:rPr>
                <w:rFonts w:hint="eastAsia"/>
                <w:sz w:val="24"/>
                <w:lang w:val="en-US" w:eastAsia="zh-CN"/>
              </w:rPr>
              <w:t>08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25-34岁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9200</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29.29%</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8303</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31.98%</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default" w:eastAsia="宋体"/>
                <w:sz w:val="24"/>
                <w:lang w:val="en-US" w:eastAsia="zh-CN"/>
              </w:rPr>
            </w:pPr>
            <w:r>
              <w:rPr>
                <w:rFonts w:hint="eastAsia"/>
                <w:sz w:val="24"/>
              </w:rPr>
              <w:t>1.</w:t>
            </w:r>
            <w:r>
              <w:rPr>
                <w:rFonts w:hint="eastAsia"/>
                <w:sz w:val="24"/>
                <w:lang w:val="en-US" w:eastAsia="zh-CN"/>
              </w:rPr>
              <w:t>11</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35-44岁</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9507</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30.27%</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8818</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33.96%</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eastAsia="宋体"/>
                <w:sz w:val="24"/>
                <w:lang w:val="en-US" w:eastAsia="zh-CN"/>
              </w:rPr>
            </w:pPr>
            <w:r>
              <w:rPr>
                <w:rFonts w:hint="eastAsia"/>
                <w:sz w:val="24"/>
              </w:rPr>
              <w:t>1.0</w:t>
            </w:r>
            <w:r>
              <w:rPr>
                <w:rFonts w:hint="eastAsia"/>
                <w:sz w:val="24"/>
                <w:lang w:val="en-US" w:eastAsia="zh-CN"/>
              </w:rPr>
              <w:t>8</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45岁以上</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571</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1.82%</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521</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2.01%</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default" w:eastAsia="宋体"/>
                <w:sz w:val="24"/>
                <w:lang w:val="en-US" w:eastAsia="zh-CN"/>
              </w:rPr>
            </w:pPr>
            <w:r>
              <w:rPr>
                <w:rFonts w:hint="eastAsia"/>
                <w:sz w:val="24"/>
              </w:rPr>
              <w:t>1.</w:t>
            </w:r>
            <w:r>
              <w:rPr>
                <w:rFonts w:hint="eastAsia"/>
                <w:sz w:val="24"/>
                <w:lang w:val="en-US" w:eastAsia="zh-CN"/>
              </w:rPr>
              <w: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3163</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10.07%</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0</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sz w:val="24"/>
              </w:rPr>
            </w:pPr>
            <w:r>
              <w:rPr>
                <w:rFonts w:hint="eastAsia"/>
                <w:sz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7" w:hRule="atLeast"/>
          <w:jc w:val="center"/>
        </w:trPr>
        <w:tc>
          <w:tcPr>
            <w:tcW w:w="14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99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31412</w:t>
            </w:r>
          </w:p>
        </w:tc>
        <w:tc>
          <w:tcPr>
            <w:tcW w:w="121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rPr>
            </w:pPr>
            <w:r>
              <w:rPr>
                <w:rFonts w:hint="eastAsia"/>
                <w:sz w:val="24"/>
                <w:lang w:val="en-US" w:eastAsia="zh-CN"/>
              </w:rPr>
              <w:t>100.00%</w:t>
            </w:r>
          </w:p>
        </w:tc>
        <w:tc>
          <w:tcPr>
            <w:tcW w:w="91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25963</w:t>
            </w:r>
          </w:p>
        </w:tc>
        <w:tc>
          <w:tcPr>
            <w:tcW w:w="120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rPr>
            </w:pPr>
            <w:r>
              <w:rPr>
                <w:rFonts w:hint="eastAsia"/>
                <w:sz w:val="24"/>
                <w:lang w:val="en-US" w:eastAsia="zh-CN"/>
              </w:rPr>
              <w:t>100.00%</w:t>
            </w:r>
          </w:p>
        </w:tc>
        <w:tc>
          <w:tcPr>
            <w:tcW w:w="1275"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eastAsia="宋体"/>
                <w:sz w:val="24"/>
                <w:lang w:val="en-US" w:eastAsia="zh-CN"/>
              </w:rPr>
            </w:pPr>
            <w:r>
              <w:rPr>
                <w:rFonts w:hint="eastAsia"/>
                <w:sz w:val="24"/>
              </w:rPr>
              <w:t>1.2</w:t>
            </w:r>
            <w:r>
              <w:rPr>
                <w:rFonts w:hint="eastAsia"/>
                <w:sz w:val="24"/>
                <w:lang w:val="en-US" w:eastAsia="zh-CN"/>
              </w:rPr>
              <w:t>1</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sz w:val="24"/>
        </w:rPr>
      </w:pPr>
      <w:r>
        <w:rPr>
          <w:rFonts w:hint="eastAsia" w:ascii="宋体" w:hAnsi="宋体"/>
          <w:sz w:val="24"/>
        </w:rPr>
        <w:t xml:space="preserve">2. </w:t>
      </w:r>
      <w:r>
        <w:rPr>
          <w:rFonts w:ascii="宋体" w:hAnsi="宋体"/>
          <w:sz w:val="24"/>
        </w:rPr>
        <w:t>文化程度</w:t>
      </w:r>
    </w:p>
    <w:p>
      <w:pPr>
        <w:adjustRightInd w:val="0"/>
        <w:snapToGrid w:val="0"/>
        <w:spacing w:line="360" w:lineRule="auto"/>
        <w:ind w:firstLine="480" w:firstLineChars="200"/>
        <w:rPr>
          <w:rFonts w:ascii="宋体" w:hAnsi="宋体"/>
          <w:sz w:val="24"/>
        </w:rPr>
      </w:pPr>
      <w:r>
        <w:rPr>
          <w:rFonts w:hint="eastAsia" w:ascii="宋体" w:hAnsi="宋体" w:cs="宋体"/>
          <w:kern w:val="0"/>
          <w:sz w:val="24"/>
        </w:rPr>
        <w:t>在需求人群中，本季度大专和高中任然是需求比重最大的，在求职人群中，也是高中及大专占了总求职的绝大多数。总体上讲，文化水平虽然在逐渐提高，但还是以高中和大专为主，高学历人才相对较少，本科比例为1</w:t>
      </w:r>
      <w:r>
        <w:rPr>
          <w:rFonts w:hint="eastAsia" w:ascii="宋体" w:hAnsi="宋体" w:cs="宋体"/>
          <w:kern w:val="0"/>
          <w:sz w:val="24"/>
          <w:lang w:val="en-US" w:eastAsia="zh-CN"/>
        </w:rPr>
        <w:t>5</w:t>
      </w:r>
      <w:r>
        <w:rPr>
          <w:rFonts w:hint="eastAsia" w:ascii="宋体" w:hAnsi="宋体" w:cs="宋体"/>
          <w:kern w:val="0"/>
          <w:sz w:val="24"/>
        </w:rPr>
        <w:t>.</w:t>
      </w:r>
      <w:r>
        <w:rPr>
          <w:rFonts w:hint="eastAsia" w:ascii="宋体" w:hAnsi="宋体" w:cs="宋体"/>
          <w:kern w:val="0"/>
          <w:sz w:val="24"/>
          <w:lang w:val="en-US" w:eastAsia="zh-CN"/>
        </w:rPr>
        <w:t>67</w:t>
      </w:r>
      <w:r>
        <w:rPr>
          <w:rFonts w:hint="eastAsia" w:ascii="宋体" w:hAnsi="宋体" w:cs="宋体"/>
          <w:kern w:val="0"/>
          <w:sz w:val="24"/>
        </w:rPr>
        <w:t xml:space="preserve">%，硕士以上人员比例仅占0.34%。 </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表1</w:t>
      </w:r>
      <w:r>
        <w:rPr>
          <w:rFonts w:hint="eastAsia" w:ascii="宋体" w:hAnsi="宋体" w:cs="宋体"/>
          <w:kern w:val="0"/>
          <w:sz w:val="24"/>
          <w:lang w:val="en-US" w:eastAsia="zh-CN"/>
        </w:rPr>
        <w:t>0</w:t>
      </w:r>
      <w:r>
        <w:rPr>
          <w:rFonts w:hint="eastAsia" w:ascii="宋体" w:hAnsi="宋体" w:cs="宋体"/>
          <w:kern w:val="0"/>
          <w:sz w:val="24"/>
        </w:rPr>
        <w:t>. 按文化程度分组的供求人数</w:t>
      </w:r>
    </w:p>
    <w:tbl>
      <w:tblPr>
        <w:tblStyle w:val="8"/>
        <w:tblW w:w="8372"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307"/>
        <w:gridCol w:w="1135"/>
        <w:gridCol w:w="1077"/>
        <w:gridCol w:w="1259"/>
        <w:gridCol w:w="1797"/>
        <w:gridCol w:w="179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567" w:hRule="atLeast"/>
          <w:jc w:val="center"/>
        </w:trPr>
        <w:tc>
          <w:tcPr>
            <w:tcW w:w="1307" w:type="dxa"/>
            <w:vMerge w:val="restart"/>
            <w:tcBorders>
              <w:top w:val="single" w:color="auto" w:sz="8" w:space="0"/>
              <w:left w:val="single" w:color="auto" w:sz="8" w:space="0"/>
              <w:bottom w:val="single" w:color="000000"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文化程度</w:t>
            </w:r>
          </w:p>
        </w:tc>
        <w:tc>
          <w:tcPr>
            <w:tcW w:w="7065"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567" w:hRule="atLeast"/>
          <w:jc w:val="center"/>
        </w:trPr>
        <w:tc>
          <w:tcPr>
            <w:tcW w:w="1307" w:type="dxa"/>
            <w:vMerge w:val="continue"/>
            <w:tcBorders>
              <w:top w:val="single" w:color="auto" w:sz="8" w:space="0"/>
              <w:left w:val="single" w:color="auto" w:sz="8" w:space="0"/>
              <w:bottom w:val="single" w:color="000000" w:sz="8" w:space="0"/>
              <w:right w:val="single" w:color="auto" w:sz="8" w:space="0"/>
            </w:tcBorders>
            <w:vAlign w:val="center"/>
          </w:tcPr>
          <w:p>
            <w:pPr>
              <w:widowControl/>
              <w:spacing w:line="360" w:lineRule="auto"/>
              <w:jc w:val="center"/>
              <w:rPr>
                <w:rFonts w:ascii="宋体" w:hAnsi="宋体" w:cs="宋体"/>
                <w:kern w:val="0"/>
                <w:sz w:val="24"/>
              </w:rPr>
            </w:pPr>
          </w:p>
        </w:tc>
        <w:tc>
          <w:tcPr>
            <w:tcW w:w="113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107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本季度需求比重(%)</w:t>
            </w:r>
          </w:p>
        </w:tc>
        <w:tc>
          <w:tcPr>
            <w:tcW w:w="1259"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本季度求职比重 (%)</w:t>
            </w:r>
          </w:p>
        </w:tc>
        <w:tc>
          <w:tcPr>
            <w:tcW w:w="1797"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15"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初中及以下</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3420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10.89%</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2904</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11.19%</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1.18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51"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高中</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8611</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27.41%</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7057</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27.18%</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1.22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其中：职高、技校、中专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3787</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12.06%</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3207</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12.35%</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1.18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23"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大专</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14352</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45.69%</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11843</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45.61%</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43"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大学</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4923</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15.67%</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4071</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15.68%</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49"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硕士以上</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106</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0.34%</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88</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0.34%</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55"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33" w:hRule="atLeast"/>
          <w:jc w:val="center"/>
        </w:trPr>
        <w:tc>
          <w:tcPr>
            <w:tcW w:w="1307"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113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31412</w:t>
            </w:r>
          </w:p>
        </w:tc>
        <w:tc>
          <w:tcPr>
            <w:tcW w:w="1077"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1259"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25963</w:t>
            </w:r>
          </w:p>
        </w:tc>
        <w:tc>
          <w:tcPr>
            <w:tcW w:w="1797"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1797"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bl>
    <w:p>
      <w:pPr>
        <w:adjustRightInd w:val="0"/>
        <w:snapToGrid w:val="0"/>
        <w:spacing w:line="360" w:lineRule="auto"/>
        <w:rPr>
          <w:rFonts w:ascii="宋体" w:hAnsi="宋体"/>
          <w:color w:val="FF0000"/>
          <w:sz w:val="24"/>
        </w:rPr>
      </w:pPr>
    </w:p>
    <w:p>
      <w:pPr>
        <w:adjustRightInd w:val="0"/>
        <w:snapToGrid w:val="0"/>
        <w:spacing w:line="360" w:lineRule="auto"/>
        <w:rPr>
          <w:rFonts w:ascii="宋体" w:hAnsi="宋体"/>
          <w:sz w:val="24"/>
        </w:rPr>
      </w:pPr>
      <w:r>
        <w:rPr>
          <w:rFonts w:hint="eastAsia" w:ascii="宋体" w:hAnsi="宋体"/>
          <w:sz w:val="24"/>
        </w:rPr>
        <w:t xml:space="preserve">3. </w:t>
      </w:r>
      <w:r>
        <w:rPr>
          <w:rFonts w:ascii="宋体" w:hAnsi="宋体"/>
          <w:sz w:val="24"/>
        </w:rPr>
        <w:t>技术等级或职称</w:t>
      </w:r>
    </w:p>
    <w:p>
      <w:pPr>
        <w:adjustRightInd w:val="0"/>
        <w:snapToGrid w:val="0"/>
        <w:spacing w:line="360" w:lineRule="auto"/>
        <w:ind w:firstLine="480" w:firstLineChars="200"/>
        <w:jc w:val="left"/>
        <w:rPr>
          <w:rFonts w:ascii="宋体" w:hAnsi="宋体"/>
          <w:sz w:val="24"/>
        </w:rPr>
      </w:pPr>
      <w:r>
        <w:rPr>
          <w:rFonts w:hint="eastAsia" w:ascii="宋体" w:hAnsi="宋体"/>
          <w:sz w:val="24"/>
        </w:rPr>
        <w:t>按技术等级分类，</w:t>
      </w:r>
      <w:r>
        <w:rPr>
          <w:rFonts w:hint="eastAsia" w:ascii="宋体" w:hAnsi="宋体"/>
          <w:color w:val="auto"/>
          <w:sz w:val="24"/>
          <w:highlight w:val="none"/>
        </w:rPr>
        <w:t>需求中无要求的占</w:t>
      </w:r>
      <w:r>
        <w:rPr>
          <w:rFonts w:hint="eastAsia" w:ascii="宋体" w:hAnsi="宋体"/>
          <w:color w:val="auto"/>
          <w:sz w:val="24"/>
          <w:highlight w:val="none"/>
          <w:lang w:val="en-US" w:eastAsia="zh-CN"/>
        </w:rPr>
        <w:t>48.94</w:t>
      </w:r>
      <w:r>
        <w:rPr>
          <w:rFonts w:hint="eastAsia" w:ascii="宋体" w:hAnsi="宋体"/>
          <w:color w:val="auto"/>
          <w:sz w:val="24"/>
          <w:highlight w:val="none"/>
        </w:rPr>
        <w:t>%，求职者中无技术等级和职称的占</w:t>
      </w:r>
      <w:r>
        <w:rPr>
          <w:rFonts w:hint="eastAsia" w:ascii="宋体" w:hAnsi="宋体"/>
          <w:color w:val="auto"/>
          <w:sz w:val="24"/>
          <w:highlight w:val="none"/>
          <w:lang w:val="en-US" w:eastAsia="zh-CN"/>
        </w:rPr>
        <w:t>51.80</w:t>
      </w:r>
      <w:r>
        <w:rPr>
          <w:rFonts w:hint="eastAsia" w:ascii="宋体" w:hAnsi="宋体"/>
          <w:color w:val="auto"/>
          <w:sz w:val="24"/>
          <w:highlight w:val="none"/>
        </w:rPr>
        <w:t>%，</w:t>
      </w:r>
      <w:r>
        <w:rPr>
          <w:rFonts w:hint="eastAsia" w:ascii="宋体" w:hAnsi="宋体"/>
          <w:sz w:val="24"/>
        </w:rPr>
        <w:t>这两者仍然是需求和求职的主要构成部分，与去年同期相比，</w:t>
      </w:r>
      <w:r>
        <w:rPr>
          <w:rFonts w:ascii="宋体" w:hAnsi="宋体"/>
          <w:sz w:val="24"/>
        </w:rPr>
        <w:t>企业</w:t>
      </w:r>
      <w:r>
        <w:rPr>
          <w:rFonts w:hint="eastAsia" w:ascii="宋体" w:hAnsi="宋体"/>
          <w:sz w:val="24"/>
        </w:rPr>
        <w:t>对于有高技能的人才需要略有增加，而求职者中有职业资格专业技术的比例也逐年上升。</w:t>
      </w:r>
    </w:p>
    <w:p>
      <w:pPr>
        <w:adjustRightInd w:val="0"/>
        <w:snapToGrid w:val="0"/>
        <w:spacing w:line="360" w:lineRule="auto"/>
        <w:jc w:val="center"/>
        <w:rPr>
          <w:rFonts w:ascii="宋体" w:hAnsi="宋体"/>
          <w:sz w:val="24"/>
        </w:rPr>
      </w:pPr>
      <w:r>
        <w:rPr>
          <w:rFonts w:hint="eastAsia" w:ascii="宋体" w:hAnsi="宋体"/>
          <w:sz w:val="24"/>
        </w:rPr>
        <w:t>表1</w:t>
      </w:r>
      <w:r>
        <w:rPr>
          <w:rFonts w:hint="eastAsia" w:ascii="宋体" w:hAnsi="宋体"/>
          <w:sz w:val="24"/>
          <w:lang w:val="en-US" w:eastAsia="zh-CN"/>
        </w:rPr>
        <w:t>1.</w:t>
      </w:r>
      <w:r>
        <w:rPr>
          <w:rFonts w:hint="eastAsia" w:ascii="宋体" w:hAnsi="宋体"/>
          <w:sz w:val="24"/>
        </w:rPr>
        <w:t xml:space="preserve"> </w:t>
      </w:r>
      <w:r>
        <w:rPr>
          <w:rFonts w:ascii="宋体" w:hAnsi="宋体"/>
          <w:sz w:val="24"/>
        </w:rPr>
        <w:t>按技术等级分组的供求人数</w:t>
      </w:r>
    </w:p>
    <w:tbl>
      <w:tblPr>
        <w:tblStyle w:val="8"/>
        <w:tblW w:w="7461" w:type="dxa"/>
        <w:jc w:val="center"/>
        <w:tblInd w:w="93"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301"/>
        <w:gridCol w:w="840"/>
        <w:gridCol w:w="1095"/>
        <w:gridCol w:w="990"/>
        <w:gridCol w:w="1305"/>
        <w:gridCol w:w="93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567" w:hRule="atLeast"/>
          <w:jc w:val="center"/>
        </w:trPr>
        <w:tc>
          <w:tcPr>
            <w:tcW w:w="2301" w:type="dxa"/>
            <w:vMerge w:val="restart"/>
            <w:tcBorders>
              <w:top w:val="single" w:color="auto" w:sz="8" w:space="0"/>
              <w:left w:val="single" w:color="auto" w:sz="8" w:space="0"/>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技术等级</w:t>
            </w:r>
          </w:p>
        </w:tc>
        <w:tc>
          <w:tcPr>
            <w:tcW w:w="5160" w:type="dxa"/>
            <w:gridSpan w:val="5"/>
            <w:tcBorders>
              <w:top w:val="single" w:color="auto" w:sz="8" w:space="0"/>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劳动力供求人数比较</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cantSplit/>
          <w:trHeight w:val="567" w:hRule="atLeast"/>
          <w:jc w:val="center"/>
        </w:trPr>
        <w:tc>
          <w:tcPr>
            <w:tcW w:w="2301" w:type="dxa"/>
            <w:vMerge w:val="continue"/>
            <w:tcBorders>
              <w:top w:val="single" w:color="auto" w:sz="8" w:space="0"/>
              <w:left w:val="single" w:color="auto" w:sz="8" w:space="0"/>
              <w:bottom w:val="single" w:color="auto" w:sz="8" w:space="0"/>
              <w:right w:val="single" w:color="auto" w:sz="8" w:space="0"/>
            </w:tcBorders>
            <w:vAlign w:val="center"/>
          </w:tcPr>
          <w:p>
            <w:pPr>
              <w:widowControl/>
              <w:spacing w:line="360" w:lineRule="auto"/>
              <w:jc w:val="left"/>
              <w:rPr>
                <w:rFonts w:ascii="宋体" w:hAnsi="宋体" w:cs="宋体"/>
                <w:kern w:val="0"/>
                <w:sz w:val="24"/>
              </w:rPr>
            </w:pPr>
          </w:p>
        </w:tc>
        <w:tc>
          <w:tcPr>
            <w:tcW w:w="84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本季度需求人数（人）</w:t>
            </w:r>
          </w:p>
        </w:tc>
        <w:tc>
          <w:tcPr>
            <w:tcW w:w="109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本季度需求比重（</w:t>
            </w:r>
            <w:r>
              <w:rPr>
                <w:rFonts w:ascii="宋体" w:hAnsi="宋体" w:cs="宋体"/>
                <w:kern w:val="0"/>
                <w:sz w:val="24"/>
              </w:rPr>
              <w:t>%</w:t>
            </w:r>
            <w:r>
              <w:rPr>
                <w:rFonts w:hint="eastAsia" w:ascii="宋体" w:hAnsi="宋体" w:cs="宋体"/>
                <w:kern w:val="0"/>
                <w:sz w:val="24"/>
              </w:rPr>
              <w:t>）</w:t>
            </w:r>
          </w:p>
        </w:tc>
        <w:tc>
          <w:tcPr>
            <w:tcW w:w="99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本季度求职人数（人）</w:t>
            </w:r>
          </w:p>
        </w:tc>
        <w:tc>
          <w:tcPr>
            <w:tcW w:w="1305"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本季度求职比重（</w:t>
            </w:r>
            <w:r>
              <w:rPr>
                <w:rFonts w:ascii="宋体" w:hAnsi="宋体" w:cs="宋体"/>
                <w:kern w:val="0"/>
                <w:sz w:val="24"/>
              </w:rPr>
              <w:t>%</w:t>
            </w:r>
            <w:r>
              <w:rPr>
                <w:rFonts w:hint="eastAsia" w:ascii="宋体" w:hAnsi="宋体" w:cs="宋体"/>
                <w:kern w:val="0"/>
                <w:sz w:val="24"/>
              </w:rPr>
              <w:t>）</w:t>
            </w:r>
          </w:p>
        </w:tc>
        <w:tc>
          <w:tcPr>
            <w:tcW w:w="930" w:type="dxa"/>
            <w:tcBorders>
              <w:top w:val="nil"/>
              <w:left w:val="nil"/>
              <w:bottom w:val="single" w:color="auto" w:sz="8" w:space="0"/>
              <w:right w:val="single" w:color="auto" w:sz="8" w:space="0"/>
            </w:tcBorders>
            <w:shd w:val="clear" w:color="auto" w:fill="FFFF99"/>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本季度求人倍率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职业资格五级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11812</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37.60%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9553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36.79%</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1.24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职业资格四级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2150</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6.84%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1648</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6.35%</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1.30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职业资格三级</w:t>
            </w:r>
          </w:p>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(高级技能)</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790</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2.51%</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528</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2.03%</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1.50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职业资格二级(技师)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263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0.84%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137</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0.53%</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1.92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职业资格一级(高级技师)</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108</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0.34%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41</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0.16%</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2.63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初级专业技术职务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635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2.02%</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535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2.06%</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1.19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中级专业技术职务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285</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0.91%</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174</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0.67%</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1.64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高级专业技术职务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43</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0.14%</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22</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0.08%</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1.95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无技术等级或职称</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13325</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51.32%</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1.15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无要求</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15326</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48.79%</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67" w:hRule="atLeast"/>
          <w:jc w:val="center"/>
        </w:trPr>
        <w:tc>
          <w:tcPr>
            <w:tcW w:w="2301" w:type="dxa"/>
            <w:tcBorders>
              <w:top w:val="nil"/>
              <w:left w:val="single" w:color="auto" w:sz="8" w:space="0"/>
              <w:bottom w:val="single" w:color="auto" w:sz="8" w:space="0"/>
              <w:right w:val="single" w:color="auto" w:sz="8" w:space="0"/>
            </w:tcBorders>
            <w:shd w:val="clear" w:color="auto" w:fill="CCFFCC"/>
            <w:tcMar>
              <w:top w:w="0" w:type="dxa"/>
              <w:left w:w="108" w:type="dxa"/>
              <w:bottom w:w="0" w:type="dxa"/>
              <w:right w:w="108" w:type="dxa"/>
            </w:tcMar>
            <w:vAlign w:val="center"/>
          </w:tcPr>
          <w:p>
            <w:pPr>
              <w:widowControl/>
              <w:spacing w:before="100" w:beforeAutospacing="1" w:after="100" w:afterAutospacing="1" w:line="360" w:lineRule="auto"/>
              <w:jc w:val="center"/>
              <w:rPr>
                <w:rFonts w:ascii="宋体" w:hAnsi="宋体" w:cs="宋体"/>
                <w:kern w:val="0"/>
                <w:sz w:val="24"/>
              </w:rPr>
            </w:pPr>
            <w:r>
              <w:rPr>
                <w:rFonts w:hint="eastAsia" w:ascii="宋体" w:hAnsi="宋体" w:cs="宋体"/>
                <w:kern w:val="0"/>
                <w:sz w:val="24"/>
              </w:rPr>
              <w:t>合计</w:t>
            </w:r>
          </w:p>
        </w:tc>
        <w:tc>
          <w:tcPr>
            <w:tcW w:w="840"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31412</w:t>
            </w:r>
          </w:p>
        </w:tc>
        <w:tc>
          <w:tcPr>
            <w:tcW w:w="1095" w:type="dxa"/>
            <w:tcBorders>
              <w:top w:val="single" w:color="auto" w:sz="8" w:space="0"/>
              <w:left w:val="nil"/>
              <w:bottom w:val="single" w:color="auto" w:sz="8" w:space="0"/>
              <w:right w:val="single" w:color="auto" w:sz="8" w:space="0"/>
            </w:tcBorders>
            <w:shd w:val="clear" w:color="auto" w:fill="CCFF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990"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25963</w:t>
            </w:r>
          </w:p>
        </w:tc>
        <w:tc>
          <w:tcPr>
            <w:tcW w:w="1305" w:type="dxa"/>
            <w:tcBorders>
              <w:top w:val="single" w:color="auto" w:sz="8" w:space="0"/>
              <w:left w:val="nil"/>
              <w:bottom w:val="single" w:color="auto" w:sz="8" w:space="0"/>
              <w:right w:val="single" w:color="auto" w:sz="8" w:space="0"/>
            </w:tcBorders>
            <w:shd w:val="clear" w:color="auto" w:fill="99CC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100.00%</w:t>
            </w:r>
          </w:p>
        </w:tc>
        <w:tc>
          <w:tcPr>
            <w:tcW w:w="930" w:type="dxa"/>
            <w:tcBorders>
              <w:top w:val="single" w:color="auto" w:sz="8" w:space="0"/>
              <w:left w:val="nil"/>
              <w:bottom w:val="single" w:color="auto" w:sz="8" w:space="0"/>
              <w:right w:val="single" w:color="auto" w:sz="8" w:space="0"/>
            </w:tcBorders>
            <w:shd w:val="clear" w:color="auto" w:fill="CC99FF"/>
            <w:tcMar>
              <w:top w:w="0" w:type="dxa"/>
              <w:left w:w="108" w:type="dxa"/>
              <w:bottom w:w="0" w:type="dxa"/>
              <w:right w:w="108" w:type="dxa"/>
            </w:tcMar>
            <w:vAlign w:val="center"/>
          </w:tcPr>
          <w:p>
            <w:pPr>
              <w:jc w:val="center"/>
              <w:rPr>
                <w:rFonts w:hint="eastAsia"/>
                <w:sz w:val="24"/>
                <w:lang w:val="en-US" w:eastAsia="zh-CN"/>
              </w:rPr>
            </w:pPr>
            <w:r>
              <w:rPr>
                <w:rFonts w:hint="eastAsia"/>
                <w:sz w:val="24"/>
                <w:lang w:val="en-US" w:eastAsia="zh-CN"/>
              </w:rPr>
              <w:t xml:space="preserve">1.21 </w:t>
            </w:r>
          </w:p>
        </w:tc>
      </w:tr>
    </w:tbl>
    <w:p>
      <w:pPr>
        <w:adjustRightInd w:val="0"/>
        <w:snapToGrid w:val="0"/>
        <w:spacing w:line="360" w:lineRule="auto"/>
        <w:jc w:val="left"/>
        <w:rPr>
          <w:rFonts w:ascii="宋体" w:hAnsi="宋体"/>
          <w:sz w:val="24"/>
          <w:highlight w:val="yellow"/>
        </w:rPr>
      </w:pPr>
    </w:p>
    <w:p>
      <w:pPr>
        <w:adjustRightInd w:val="0"/>
        <w:snapToGrid w:val="0"/>
        <w:spacing w:line="360" w:lineRule="auto"/>
        <w:jc w:val="left"/>
        <w:rPr>
          <w:rFonts w:ascii="宋体" w:hAnsi="宋体"/>
          <w:b/>
          <w:sz w:val="24"/>
        </w:rPr>
      </w:pPr>
      <w:r>
        <w:rPr>
          <w:rFonts w:hint="eastAsia" w:ascii="宋体" w:hAnsi="宋体"/>
          <w:b/>
          <w:sz w:val="24"/>
        </w:rPr>
        <w:t>三、</w:t>
      </w:r>
      <w:r>
        <w:rPr>
          <w:rFonts w:hint="eastAsia" w:ascii="宋体" w:hAnsi="宋体"/>
          <w:b/>
          <w:sz w:val="24"/>
          <w:lang w:val="en-US" w:eastAsia="zh-CN"/>
        </w:rPr>
        <w:t>四</w:t>
      </w:r>
      <w:r>
        <w:rPr>
          <w:rFonts w:hint="eastAsia" w:ascii="宋体" w:hAnsi="宋体"/>
          <w:b/>
          <w:sz w:val="24"/>
        </w:rPr>
        <w:t>季度人力资源市场运行状况和特点及应对措施</w:t>
      </w:r>
    </w:p>
    <w:p>
      <w:pPr>
        <w:adjustRightInd w:val="0"/>
        <w:snapToGrid w:val="0"/>
        <w:spacing w:line="360" w:lineRule="auto"/>
        <w:jc w:val="left"/>
        <w:rPr>
          <w:rFonts w:ascii="宋体" w:hAnsi="宋体"/>
          <w:b/>
          <w:sz w:val="24"/>
        </w:rPr>
      </w:pPr>
      <w:r>
        <w:rPr>
          <w:rFonts w:hint="eastAsia" w:ascii="宋体" w:hAnsi="宋体"/>
          <w:b/>
          <w:sz w:val="24"/>
        </w:rPr>
        <w:t>（一）、</w:t>
      </w:r>
      <w:r>
        <w:rPr>
          <w:rFonts w:hint="eastAsia" w:ascii="宋体" w:hAnsi="宋体"/>
          <w:b/>
          <w:sz w:val="24"/>
          <w:lang w:val="en-US" w:eastAsia="zh-CN"/>
        </w:rPr>
        <w:t>四</w:t>
      </w:r>
      <w:r>
        <w:rPr>
          <w:rFonts w:hint="eastAsia" w:ascii="宋体" w:hAnsi="宋体"/>
          <w:b/>
          <w:sz w:val="24"/>
        </w:rPr>
        <w:t>季度人力资源市场运行状况和特点</w:t>
      </w:r>
    </w:p>
    <w:p>
      <w:pPr>
        <w:adjustRightInd w:val="0"/>
        <w:snapToGrid w:val="0"/>
        <w:spacing w:line="360" w:lineRule="auto"/>
        <w:ind w:firstLine="420"/>
        <w:jc w:val="left"/>
        <w:rPr>
          <w:rFonts w:ascii="宋体" w:hAnsi="宋体"/>
          <w:sz w:val="24"/>
        </w:rPr>
      </w:pPr>
      <w:r>
        <w:rPr>
          <w:rFonts w:hint="eastAsia" w:ascii="宋体" w:hAnsi="宋体"/>
          <w:sz w:val="24"/>
        </w:rPr>
        <w:t>本季度需求数为</w:t>
      </w:r>
      <w:r>
        <w:rPr>
          <w:rFonts w:hint="eastAsia" w:ascii="宋体" w:hAnsi="宋体"/>
          <w:sz w:val="24"/>
          <w:lang w:val="en-US" w:eastAsia="zh-CN"/>
        </w:rPr>
        <w:t>31412</w:t>
      </w:r>
      <w:r>
        <w:rPr>
          <w:rFonts w:hint="eastAsia" w:ascii="宋体" w:hAnsi="宋体"/>
          <w:sz w:val="24"/>
        </w:rPr>
        <w:t>人，求职数为</w:t>
      </w:r>
      <w:r>
        <w:rPr>
          <w:rFonts w:hint="eastAsia" w:ascii="宋体" w:hAnsi="宋体"/>
          <w:sz w:val="24"/>
          <w:lang w:val="en-US" w:eastAsia="zh-CN"/>
        </w:rPr>
        <w:t>25963</w:t>
      </w:r>
      <w:r>
        <w:rPr>
          <w:rFonts w:hint="eastAsia" w:ascii="宋体" w:hAnsi="宋体"/>
          <w:sz w:val="24"/>
        </w:rPr>
        <w:t>人，求人倍率为1.2</w:t>
      </w:r>
      <w:r>
        <w:rPr>
          <w:rFonts w:hint="eastAsia" w:ascii="宋体" w:hAnsi="宋体"/>
          <w:sz w:val="24"/>
          <w:lang w:val="en-US" w:eastAsia="zh-CN"/>
        </w:rPr>
        <w:t>1</w:t>
      </w:r>
      <w:r>
        <w:rPr>
          <w:rFonts w:hint="eastAsia" w:ascii="宋体" w:hAnsi="宋体"/>
          <w:sz w:val="24"/>
        </w:rPr>
        <w:t>，求人倍率比</w:t>
      </w:r>
      <w:r>
        <w:rPr>
          <w:rFonts w:hint="eastAsia" w:ascii="宋体" w:hAnsi="宋体"/>
          <w:sz w:val="24"/>
          <w:lang w:val="en-US" w:eastAsia="zh-CN"/>
        </w:rPr>
        <w:t>三</w:t>
      </w:r>
      <w:r>
        <w:rPr>
          <w:rFonts w:hint="eastAsia" w:ascii="宋体" w:hAnsi="宋体"/>
          <w:sz w:val="24"/>
        </w:rPr>
        <w:t>季度略有</w:t>
      </w:r>
      <w:r>
        <w:rPr>
          <w:rFonts w:hint="eastAsia" w:ascii="宋体" w:hAnsi="宋体"/>
          <w:sz w:val="24"/>
          <w:lang w:val="en-US" w:eastAsia="zh-CN"/>
        </w:rPr>
        <w:t>上升</w:t>
      </w:r>
      <w:r>
        <w:rPr>
          <w:rFonts w:hint="eastAsia" w:ascii="宋体" w:hAnsi="宋体"/>
          <w:sz w:val="24"/>
        </w:rPr>
        <w:t>。</w:t>
      </w:r>
      <w:r>
        <w:rPr>
          <w:rFonts w:hint="eastAsia" w:ascii="宋体" w:hAnsi="宋体"/>
          <w:sz w:val="24"/>
          <w:lang w:val="en-US" w:eastAsia="zh-CN"/>
        </w:rPr>
        <w:t>四</w:t>
      </w:r>
      <w:r>
        <w:rPr>
          <w:rFonts w:hint="eastAsia" w:ascii="宋体" w:hAnsi="宋体"/>
          <w:sz w:val="24"/>
        </w:rPr>
        <w:t>季度疫情影响逐渐缓解，但企业一线操作工缺口还比较大</w:t>
      </w:r>
      <w:r>
        <w:rPr>
          <w:rFonts w:hint="eastAsia" w:ascii="宋体" w:hAnsi="宋体"/>
          <w:sz w:val="24"/>
          <w:lang w:eastAsia="zh-CN"/>
        </w:rPr>
        <w:t>，</w:t>
      </w:r>
      <w:r>
        <w:rPr>
          <w:rFonts w:hint="eastAsia" w:ascii="宋体" w:hAnsi="宋体"/>
          <w:sz w:val="24"/>
          <w:lang w:val="en-US" w:eastAsia="zh-CN"/>
        </w:rPr>
        <w:t>企业招工还存在着一些问题</w:t>
      </w:r>
      <w:r>
        <w:rPr>
          <w:rFonts w:hint="eastAsia" w:ascii="宋体" w:hAnsi="宋体"/>
          <w:sz w:val="24"/>
        </w:rPr>
        <w:t>。</w:t>
      </w:r>
    </w:p>
    <w:p>
      <w:pPr>
        <w:adjustRightInd w:val="0"/>
        <w:snapToGrid w:val="0"/>
        <w:spacing w:line="360" w:lineRule="auto"/>
        <w:ind w:firstLine="420"/>
        <w:jc w:val="left"/>
        <w:rPr>
          <w:rFonts w:ascii="宋体" w:hAnsi="宋体"/>
          <w:sz w:val="24"/>
        </w:rPr>
      </w:pPr>
      <w:r>
        <w:rPr>
          <w:rFonts w:ascii="宋体" w:hAnsi="宋体"/>
          <w:sz w:val="24"/>
        </w:rPr>
        <w:drawing>
          <wp:inline distT="0" distB="0" distL="0" distR="0">
            <wp:extent cx="5123815" cy="1809115"/>
            <wp:effectExtent l="4445" t="4445" r="15240" b="1524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adjustRightInd w:val="0"/>
        <w:snapToGrid w:val="0"/>
        <w:spacing w:line="360" w:lineRule="auto"/>
        <w:jc w:val="left"/>
        <w:rPr>
          <w:rFonts w:hint="eastAsia" w:ascii="宋体" w:hAnsi="宋体" w:eastAsia="宋体"/>
          <w:b/>
          <w:sz w:val="24"/>
          <w:lang w:val="en-US" w:eastAsia="zh-CN"/>
        </w:rPr>
      </w:pPr>
      <w:r>
        <w:rPr>
          <w:rFonts w:hint="eastAsia" w:ascii="宋体" w:hAnsi="宋体"/>
          <w:b/>
          <w:sz w:val="24"/>
        </w:rPr>
        <w:t>（二）、招工难的原因分析</w:t>
      </w:r>
    </w:p>
    <w:p>
      <w:pPr>
        <w:spacing w:line="360" w:lineRule="auto"/>
        <w:rPr>
          <w:rFonts w:hint="eastAsia" w:ascii="微软雅黑" w:hAnsi="微软雅黑" w:eastAsia="宋体" w:cs="微软雅黑"/>
          <w:i w:val="0"/>
          <w:iCs w:val="0"/>
          <w:caps w:val="0"/>
          <w:color w:val="333333"/>
          <w:spacing w:val="0"/>
          <w:sz w:val="21"/>
          <w:szCs w:val="21"/>
          <w:shd w:val="clear" w:fill="FBFBFB"/>
          <w:lang w:eastAsia="zh-CN"/>
        </w:rPr>
      </w:pPr>
      <w:r>
        <w:rPr>
          <w:rFonts w:hint="eastAsia" w:ascii="宋体" w:hAnsi="宋体"/>
          <w:b/>
          <w:sz w:val="24"/>
          <w:lang w:val="en-US" w:eastAsia="zh-CN"/>
        </w:rPr>
        <w:t>1</w:t>
      </w:r>
      <w:r>
        <w:rPr>
          <w:rFonts w:hint="eastAsia" w:ascii="宋体" w:hAnsi="宋体"/>
          <w:b/>
          <w:sz w:val="24"/>
        </w:rPr>
        <w:t>、</w:t>
      </w:r>
      <w:r>
        <w:rPr>
          <w:rFonts w:hint="eastAsia" w:ascii="宋体" w:hAnsi="宋体"/>
          <w:b/>
          <w:sz w:val="24"/>
          <w:lang w:val="en-US" w:eastAsia="zh-CN"/>
        </w:rPr>
        <w:t>传统企业工资缺少竞争力</w:t>
      </w:r>
      <w:r>
        <w:rPr>
          <w:rFonts w:hint="eastAsia" w:ascii="宋体" w:hAnsi="宋体"/>
          <w:sz w:val="24"/>
        </w:rPr>
        <w:t>：</w:t>
      </w:r>
      <w:r>
        <w:rPr>
          <w:rFonts w:hint="eastAsia" w:ascii="宋体" w:hAnsi="宋体"/>
          <w:sz w:val="24"/>
          <w:lang w:val="en-US" w:eastAsia="zh-CN"/>
        </w:rPr>
        <w:t>我市行业需求主要集中在制造业，制造业工资收入相对较低，</w:t>
      </w:r>
      <w:r>
        <w:rPr>
          <w:rFonts w:hint="eastAsia" w:ascii="宋体" w:hAnsi="宋体" w:eastAsia="宋体" w:cs="宋体"/>
          <w:i w:val="0"/>
          <w:iCs w:val="0"/>
          <w:caps w:val="0"/>
          <w:color w:val="333333"/>
          <w:spacing w:val="0"/>
          <w:sz w:val="24"/>
          <w:szCs w:val="24"/>
          <w:shd w:val="clear" w:fill="FBFBFB"/>
        </w:rPr>
        <w:t>目前多数制造业企业工资收入并不具有竞争力，而外卖小哥、快递员虽然跑单辛苦，但薪资却比较可观，相比之下，制造业的工资水平很难留住劳动者</w:t>
      </w:r>
      <w:r>
        <w:rPr>
          <w:rFonts w:hint="eastAsia" w:ascii="宋体" w:hAnsi="宋体" w:cs="宋体"/>
          <w:i w:val="0"/>
          <w:iCs w:val="0"/>
          <w:caps w:val="0"/>
          <w:color w:val="333333"/>
          <w:spacing w:val="0"/>
          <w:sz w:val="24"/>
          <w:szCs w:val="24"/>
          <w:shd w:val="clear" w:fill="FBFBFB"/>
          <w:lang w:eastAsia="zh-CN"/>
        </w:rPr>
        <w:t>；</w:t>
      </w:r>
    </w:p>
    <w:p>
      <w:pPr>
        <w:spacing w:line="360" w:lineRule="auto"/>
        <w:rPr>
          <w:rFonts w:hint="eastAsia" w:ascii="宋体" w:hAnsi="宋体" w:eastAsia="宋体"/>
          <w:sz w:val="24"/>
          <w:lang w:eastAsia="zh-CN"/>
        </w:rPr>
      </w:pPr>
      <w:r>
        <w:rPr>
          <w:rFonts w:hint="eastAsia" w:ascii="宋体" w:hAnsi="宋体"/>
          <w:b/>
          <w:sz w:val="24"/>
          <w:lang w:val="en-US" w:eastAsia="zh-CN"/>
        </w:rPr>
        <w:t>2</w:t>
      </w:r>
      <w:r>
        <w:rPr>
          <w:rFonts w:hint="eastAsia" w:ascii="宋体" w:hAnsi="宋体"/>
          <w:b/>
          <w:sz w:val="24"/>
        </w:rPr>
        <w:t>、</w:t>
      </w:r>
      <w:r>
        <w:rPr>
          <w:rFonts w:hint="eastAsia" w:ascii="宋体" w:hAnsi="宋体"/>
          <w:b/>
          <w:sz w:val="24"/>
          <w:lang w:val="en-US" w:eastAsia="zh-CN"/>
        </w:rPr>
        <w:t>就业观念的改变</w:t>
      </w:r>
      <w:r>
        <w:rPr>
          <w:rFonts w:hint="eastAsia" w:ascii="宋体" w:hAnsi="宋体"/>
          <w:sz w:val="24"/>
        </w:rPr>
        <w:t>：</w:t>
      </w:r>
      <w:r>
        <w:rPr>
          <w:rFonts w:hint="eastAsia" w:ascii="宋体" w:hAnsi="宋体" w:eastAsia="宋体" w:cs="宋体"/>
          <w:i w:val="0"/>
          <w:iCs w:val="0"/>
          <w:caps w:val="0"/>
          <w:color w:val="333333"/>
          <w:spacing w:val="0"/>
          <w:sz w:val="24"/>
          <w:szCs w:val="24"/>
          <w:shd w:val="clear" w:fill="FBFBFB"/>
        </w:rPr>
        <w:t>由于物质生活条件的改善及经济社会的快速发展，现在年轻人赚钱养家糊口之外，更加在意自由的工作方式和自我价值的实现</w:t>
      </w:r>
      <w:r>
        <w:rPr>
          <w:rFonts w:hint="eastAsia" w:ascii="宋体" w:hAnsi="宋体"/>
          <w:sz w:val="24"/>
          <w:lang w:eastAsia="zh-CN"/>
        </w:rPr>
        <w:t>；</w:t>
      </w:r>
    </w:p>
    <w:p>
      <w:pPr>
        <w:spacing w:line="360" w:lineRule="auto"/>
        <w:rPr>
          <w:rFonts w:hint="eastAsia" w:ascii="宋体" w:hAnsi="宋体" w:eastAsia="微软雅黑"/>
          <w:sz w:val="24"/>
          <w:lang w:eastAsia="zh-CN"/>
        </w:rPr>
      </w:pPr>
      <w:r>
        <w:rPr>
          <w:rFonts w:hint="eastAsia" w:ascii="宋体" w:hAnsi="宋体"/>
          <w:b/>
          <w:sz w:val="24"/>
          <w:lang w:val="en-US" w:eastAsia="zh-CN"/>
        </w:rPr>
        <w:t>3</w:t>
      </w:r>
      <w:r>
        <w:rPr>
          <w:rFonts w:hint="eastAsia" w:ascii="宋体" w:hAnsi="宋体"/>
          <w:b/>
          <w:sz w:val="24"/>
        </w:rPr>
        <w:t>、</w:t>
      </w:r>
      <w:r>
        <w:rPr>
          <w:rFonts w:hint="eastAsia" w:ascii="宋体" w:hAnsi="宋体"/>
          <w:b/>
          <w:sz w:val="24"/>
          <w:lang w:val="en-US" w:eastAsia="zh-CN"/>
        </w:rPr>
        <w:t>工作本身比较枯燥</w:t>
      </w:r>
      <w:r>
        <w:rPr>
          <w:rFonts w:hint="eastAsia" w:ascii="宋体" w:hAnsi="宋体"/>
          <w:sz w:val="24"/>
        </w:rPr>
        <w:t>：</w:t>
      </w:r>
      <w:r>
        <w:rPr>
          <w:rFonts w:hint="eastAsia" w:ascii="宋体" w:hAnsi="宋体"/>
          <w:sz w:val="24"/>
          <w:lang w:val="en-US" w:eastAsia="zh-CN"/>
        </w:rPr>
        <w:t>制</w:t>
      </w:r>
      <w:r>
        <w:rPr>
          <w:rFonts w:hint="eastAsia" w:ascii="宋体" w:hAnsi="宋体" w:eastAsia="宋体" w:cs="宋体"/>
          <w:i w:val="0"/>
          <w:iCs w:val="0"/>
          <w:caps w:val="0"/>
          <w:color w:val="333333"/>
          <w:spacing w:val="0"/>
          <w:sz w:val="24"/>
          <w:szCs w:val="24"/>
          <w:shd w:val="clear" w:fill="FBFBFB"/>
        </w:rPr>
        <w:t>造业本身工作枯燥，工作时间长，四班三倒，三班两倒，还有安全无法保障，</w:t>
      </w:r>
      <w:r>
        <w:rPr>
          <w:rFonts w:hint="eastAsia" w:ascii="宋体" w:hAnsi="宋体" w:eastAsia="宋体" w:cs="宋体"/>
          <w:i w:val="0"/>
          <w:iCs w:val="0"/>
          <w:caps w:val="0"/>
          <w:color w:val="333333"/>
          <w:spacing w:val="0"/>
          <w:sz w:val="24"/>
          <w:szCs w:val="24"/>
          <w:shd w:val="clear" w:fill="FBFBFB"/>
          <w:lang w:val="en-US" w:eastAsia="zh-CN"/>
        </w:rPr>
        <w:t>而</w:t>
      </w:r>
      <w:r>
        <w:rPr>
          <w:rFonts w:hint="eastAsia" w:ascii="宋体" w:hAnsi="宋体" w:eastAsia="宋体" w:cs="宋体"/>
          <w:i w:val="0"/>
          <w:iCs w:val="0"/>
          <w:caps w:val="0"/>
          <w:color w:val="333333"/>
          <w:spacing w:val="0"/>
          <w:sz w:val="24"/>
          <w:szCs w:val="24"/>
          <w:shd w:val="clear" w:fill="FBFBFB"/>
        </w:rPr>
        <w:t>年轻人</w:t>
      </w:r>
      <w:r>
        <w:rPr>
          <w:rFonts w:hint="eastAsia" w:ascii="宋体" w:hAnsi="宋体" w:eastAsia="宋体" w:cs="宋体"/>
          <w:i w:val="0"/>
          <w:iCs w:val="0"/>
          <w:caps w:val="0"/>
          <w:color w:val="333333"/>
          <w:spacing w:val="0"/>
          <w:sz w:val="24"/>
          <w:szCs w:val="24"/>
          <w:shd w:val="clear" w:fill="FBFBFB"/>
          <w:lang w:val="en-US" w:eastAsia="zh-CN"/>
        </w:rPr>
        <w:t>崇尚</w:t>
      </w:r>
      <w:r>
        <w:rPr>
          <w:rFonts w:hint="eastAsia" w:ascii="宋体" w:hAnsi="宋体" w:eastAsia="宋体" w:cs="宋体"/>
          <w:i w:val="0"/>
          <w:iCs w:val="0"/>
          <w:caps w:val="0"/>
          <w:color w:val="333333"/>
          <w:spacing w:val="0"/>
          <w:sz w:val="24"/>
          <w:szCs w:val="24"/>
          <w:shd w:val="clear" w:fill="FBFBFB"/>
        </w:rPr>
        <w:t>自由，不喜欢流水线的枯燥，</w:t>
      </w:r>
      <w:r>
        <w:rPr>
          <w:rFonts w:hint="eastAsia" w:ascii="宋体" w:hAnsi="宋体" w:eastAsia="宋体" w:cs="宋体"/>
          <w:i w:val="0"/>
          <w:iCs w:val="0"/>
          <w:caps w:val="0"/>
          <w:color w:val="333333"/>
          <w:spacing w:val="0"/>
          <w:sz w:val="24"/>
          <w:szCs w:val="24"/>
          <w:shd w:val="clear" w:fill="FBFBFB"/>
          <w:lang w:val="en-US" w:eastAsia="zh-CN"/>
        </w:rPr>
        <w:t>相比之下</w:t>
      </w:r>
      <w:r>
        <w:rPr>
          <w:rFonts w:hint="eastAsia" w:ascii="宋体" w:hAnsi="宋体" w:eastAsia="宋体" w:cs="宋体"/>
          <w:i w:val="0"/>
          <w:iCs w:val="0"/>
          <w:caps w:val="0"/>
          <w:color w:val="333333"/>
          <w:spacing w:val="0"/>
          <w:sz w:val="24"/>
          <w:szCs w:val="24"/>
          <w:shd w:val="clear" w:fill="FBFBFB"/>
        </w:rPr>
        <w:t>外卖快递的工作比较自由，符合年轻人的爱自由的特点，但随着技术的进步，年轻人也要改变对制造业的旧有看法</w:t>
      </w:r>
      <w:r>
        <w:rPr>
          <w:rFonts w:hint="eastAsia" w:ascii="宋体" w:hAnsi="宋体" w:eastAsia="宋体" w:cs="宋体"/>
          <w:i w:val="0"/>
          <w:iCs w:val="0"/>
          <w:caps w:val="0"/>
          <w:color w:val="333333"/>
          <w:spacing w:val="0"/>
          <w:sz w:val="24"/>
          <w:szCs w:val="24"/>
          <w:shd w:val="clear" w:fill="FBFBFB"/>
          <w:lang w:eastAsia="zh-CN"/>
        </w:rPr>
        <w:t>。</w:t>
      </w:r>
    </w:p>
    <w:p>
      <w:pPr>
        <w:spacing w:line="360" w:lineRule="auto"/>
        <w:rPr>
          <w:rFonts w:ascii="宋体" w:hAnsi="宋体"/>
          <w:b/>
          <w:bCs/>
          <w:sz w:val="24"/>
        </w:rPr>
      </w:pPr>
      <w:r>
        <w:rPr>
          <w:rFonts w:hint="eastAsia" w:ascii="宋体" w:hAnsi="宋体"/>
          <w:b/>
          <w:bCs/>
          <w:sz w:val="24"/>
          <w:lang w:val="en-US" w:eastAsia="zh-CN"/>
        </w:rPr>
        <w:t>4</w:t>
      </w:r>
      <w:r>
        <w:rPr>
          <w:rFonts w:hint="eastAsia" w:ascii="宋体" w:hAnsi="宋体"/>
          <w:b/>
          <w:bCs/>
          <w:sz w:val="24"/>
        </w:rPr>
        <w:t>、</w:t>
      </w:r>
      <w:r>
        <w:rPr>
          <w:rFonts w:hint="eastAsia" w:ascii="宋体" w:hAnsi="宋体"/>
          <w:b/>
          <w:bCs/>
          <w:sz w:val="24"/>
          <w:lang w:val="en-US" w:eastAsia="zh-CN"/>
        </w:rPr>
        <w:t>职业前景与上升通道不乐观</w:t>
      </w:r>
      <w:r>
        <w:rPr>
          <w:rFonts w:hint="eastAsia" w:ascii="宋体" w:hAnsi="宋体"/>
          <w:b/>
          <w:bCs/>
          <w:sz w:val="24"/>
        </w:rPr>
        <w:t>：</w:t>
      </w:r>
      <w:r>
        <w:rPr>
          <w:rFonts w:hint="eastAsia" w:ascii="宋体" w:hAnsi="宋体" w:eastAsia="宋体" w:cs="宋体"/>
          <w:i w:val="0"/>
          <w:iCs w:val="0"/>
          <w:caps w:val="0"/>
          <w:color w:val="333333"/>
          <w:spacing w:val="0"/>
          <w:sz w:val="24"/>
          <w:szCs w:val="24"/>
          <w:shd w:val="clear" w:fill="FBFBFB"/>
        </w:rPr>
        <w:t>普通工人的职业上升通道较为狭窄，在企业也得不到应有重视，很难通过正常渠道获得职业发展或晋升的机会</w:t>
      </w:r>
      <w:r>
        <w:rPr>
          <w:rFonts w:hint="eastAsia" w:ascii="宋体" w:hAnsi="宋体"/>
          <w:sz w:val="24"/>
        </w:rPr>
        <w:t>。</w:t>
      </w:r>
    </w:p>
    <w:p>
      <w:pPr>
        <w:pStyle w:val="20"/>
        <w:numPr>
          <w:ilvl w:val="0"/>
          <w:numId w:val="1"/>
        </w:numPr>
        <w:spacing w:line="360" w:lineRule="auto"/>
        <w:ind w:firstLineChars="0"/>
        <w:rPr>
          <w:rFonts w:ascii="宋体" w:hAnsi="宋体"/>
          <w:b/>
          <w:sz w:val="24"/>
        </w:rPr>
      </w:pPr>
      <w:r>
        <w:rPr>
          <w:rFonts w:hint="eastAsia" w:ascii="宋体" w:hAnsi="宋体"/>
          <w:b/>
          <w:sz w:val="24"/>
        </w:rPr>
        <w:t>、针对以上情况，我市采取了积极的应对措施：</w:t>
      </w:r>
    </w:p>
    <w:p>
      <w:pPr>
        <w:adjustRightInd w:val="0"/>
        <w:snapToGrid w:val="0"/>
        <w:spacing w:line="360" w:lineRule="auto"/>
        <w:jc w:val="left"/>
        <w:rPr>
          <w:rFonts w:hint="default" w:ascii="宋体" w:hAnsi="宋体" w:eastAsia="宋体"/>
          <w:sz w:val="24"/>
          <w:lang w:val="en-US" w:eastAsia="zh-CN"/>
        </w:rPr>
      </w:pPr>
      <w:r>
        <w:rPr>
          <w:rFonts w:hint="eastAsia" w:ascii="宋体" w:hAnsi="宋体"/>
          <w:b/>
          <w:sz w:val="24"/>
        </w:rPr>
        <w:t>1、</w:t>
      </w:r>
      <w:r>
        <w:rPr>
          <w:rFonts w:hint="eastAsia" w:ascii="宋体" w:hAnsi="宋体"/>
          <w:b/>
          <w:sz w:val="24"/>
          <w:lang w:val="en-US" w:eastAsia="zh-CN"/>
        </w:rPr>
        <w:t>开展“职达专机”引才入港活动</w:t>
      </w:r>
      <w:r>
        <w:rPr>
          <w:rFonts w:hint="eastAsia" w:ascii="宋体" w:hAnsi="宋体"/>
          <w:sz w:val="24"/>
        </w:rPr>
        <w:t>：2022年</w:t>
      </w:r>
      <w:r>
        <w:rPr>
          <w:rFonts w:hint="eastAsia" w:ascii="宋体" w:hAnsi="宋体"/>
          <w:sz w:val="24"/>
          <w:lang w:val="en-US" w:eastAsia="zh-CN"/>
        </w:rPr>
        <w:t>四</w:t>
      </w:r>
      <w:r>
        <w:rPr>
          <w:rFonts w:hint="eastAsia" w:ascii="宋体" w:hAnsi="宋体"/>
          <w:sz w:val="24"/>
        </w:rPr>
        <w:t>季度，我</w:t>
      </w:r>
      <w:r>
        <w:rPr>
          <w:rFonts w:hint="eastAsia" w:ascii="宋体" w:hAnsi="宋体"/>
          <w:bCs/>
          <w:sz w:val="24"/>
        </w:rPr>
        <w:t>局前往云南省昆明市，根据我市产业发展对应用型技能人才的需求，走访了云南</w:t>
      </w:r>
      <w:r>
        <w:rPr>
          <w:rFonts w:hint="eastAsia" w:ascii="宋体" w:hAnsi="宋体"/>
          <w:bCs/>
          <w:sz w:val="24"/>
          <w:lang w:val="en-US" w:eastAsia="zh-CN"/>
        </w:rPr>
        <w:t>工业</w:t>
      </w:r>
      <w:r>
        <w:rPr>
          <w:rFonts w:hint="eastAsia" w:ascii="宋体" w:hAnsi="宋体"/>
          <w:bCs/>
          <w:sz w:val="24"/>
        </w:rPr>
        <w:t>职业</w:t>
      </w:r>
      <w:r>
        <w:rPr>
          <w:rFonts w:hint="eastAsia" w:ascii="宋体" w:hAnsi="宋体"/>
          <w:bCs/>
          <w:sz w:val="24"/>
          <w:lang w:val="en-US" w:eastAsia="zh-CN"/>
        </w:rPr>
        <w:t>技术</w:t>
      </w:r>
      <w:r>
        <w:rPr>
          <w:rFonts w:hint="eastAsia" w:ascii="宋体" w:hAnsi="宋体"/>
          <w:bCs/>
          <w:sz w:val="24"/>
        </w:rPr>
        <w:t>学院等院校，围绕校政企合作、人才资源开发、人才供给渠道建立等内容，达成多项校政战略合作框架。新建张家港市应用型人才培养供给基地4个</w:t>
      </w:r>
      <w:r>
        <w:rPr>
          <w:rFonts w:hint="eastAsia" w:ascii="宋体" w:hAnsi="宋体"/>
          <w:bCs/>
          <w:sz w:val="24"/>
          <w:lang w:eastAsia="zh-CN"/>
        </w:rPr>
        <w:t>，</w:t>
      </w:r>
      <w:r>
        <w:rPr>
          <w:rFonts w:hint="eastAsia" w:ascii="宋体" w:hAnsi="宋体"/>
          <w:bCs/>
          <w:sz w:val="24"/>
        </w:rPr>
        <w:t>为我市产业发展储备了一批理高素质技能人才</w:t>
      </w:r>
      <w:r>
        <w:rPr>
          <w:rFonts w:hint="eastAsia" w:ascii="宋体" w:hAnsi="宋体"/>
          <w:bCs/>
          <w:sz w:val="24"/>
          <w:lang w:eastAsia="zh-CN"/>
        </w:rPr>
        <w:t>。</w:t>
      </w:r>
      <w:r>
        <w:rPr>
          <w:rFonts w:hint="eastAsia" w:ascii="宋体" w:hAnsi="宋体"/>
          <w:bCs/>
          <w:sz w:val="24"/>
          <w:lang w:val="en-US" w:eastAsia="zh-CN"/>
        </w:rPr>
        <w:t>并组织49名学生组成第一批赴港就业团，乘坐免费的飞机来我市就业实习。</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宋体" w:hAnsi="宋体" w:eastAsia="宋体" w:cs="Times New Roman"/>
          <w:bCs/>
          <w:kern w:val="2"/>
          <w:sz w:val="24"/>
          <w:szCs w:val="24"/>
          <w:lang w:val="en-US" w:eastAsia="zh-CN" w:bidi="ar-SA"/>
        </w:rPr>
      </w:pPr>
      <w:r>
        <w:rPr>
          <w:rFonts w:hint="eastAsia" w:ascii="宋体" w:hAnsi="宋体"/>
          <w:b/>
          <w:sz w:val="24"/>
        </w:rPr>
        <w:t>2、</w:t>
      </w:r>
      <w:r>
        <w:rPr>
          <w:rFonts w:hint="eastAsia" w:ascii="宋体" w:hAnsi="宋体"/>
          <w:b/>
          <w:sz w:val="24"/>
          <w:lang w:eastAsia="zh-CN"/>
        </w:rPr>
        <w:t>“</w:t>
      </w:r>
      <w:r>
        <w:rPr>
          <w:rFonts w:hint="eastAsia" w:ascii="宋体" w:hAnsi="宋体"/>
          <w:b/>
          <w:sz w:val="24"/>
          <w:lang w:val="en-US" w:eastAsia="zh-CN"/>
        </w:rPr>
        <w:t>张家港号</w:t>
      </w:r>
      <w:r>
        <w:rPr>
          <w:rFonts w:hint="eastAsia" w:ascii="宋体" w:hAnsi="宋体"/>
          <w:b/>
          <w:sz w:val="24"/>
          <w:lang w:eastAsia="zh-CN"/>
        </w:rPr>
        <w:t>”</w:t>
      </w:r>
      <w:r>
        <w:rPr>
          <w:rFonts w:hint="eastAsia" w:ascii="宋体" w:hAnsi="宋体"/>
          <w:b/>
          <w:sz w:val="24"/>
          <w:lang w:val="en-US" w:eastAsia="zh-CN"/>
        </w:rPr>
        <w:t>引才专列开进吉林大学</w:t>
      </w:r>
      <w:r>
        <w:rPr>
          <w:rFonts w:hint="eastAsia" w:ascii="宋体" w:hAnsi="宋体"/>
          <w:sz w:val="24"/>
        </w:rPr>
        <w:t>：</w:t>
      </w:r>
      <w:r>
        <w:rPr>
          <w:rFonts w:hint="eastAsia" w:ascii="宋体" w:hAnsi="宋体"/>
          <w:sz w:val="24"/>
          <w:lang w:val="en-US" w:eastAsia="zh-CN"/>
        </w:rPr>
        <w:t>今</w:t>
      </w:r>
      <w:r>
        <w:rPr>
          <w:rFonts w:hint="eastAsia" w:ascii="宋体" w:hAnsi="宋体" w:eastAsia="宋体" w:cs="Times New Roman"/>
          <w:bCs/>
          <w:kern w:val="2"/>
          <w:sz w:val="24"/>
          <w:szCs w:val="24"/>
          <w:lang w:val="en-US" w:eastAsia="zh-CN" w:bidi="ar-SA"/>
        </w:rPr>
        <w:t>年四季度，我市与吉林大学成功签约张家港市——吉林大学引才基地，进一步提升了我市人才储备的数量。光束汽车、永钢集团、国泰华盛、长江两新党建学院等4家知名企业、单位在现场进行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default"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名岗推荐。本次活动共有960家用人单位，提供18694个优质岗位，112家企业参与线上面试，活动开始仅两小时，云上平台新增简历4169份，其中硕士研究生及以上毕业生占比高达68.7%。</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360" w:lineRule="auto"/>
        <w:ind w:left="0" w:right="0" w:firstLine="0"/>
        <w:textAlignment w:val="auto"/>
        <w:rPr>
          <w:rFonts w:hint="eastAsia" w:ascii="宋体" w:hAnsi="宋体" w:eastAsia="Microsoft YaHei UI"/>
          <w:sz w:val="24"/>
          <w:lang w:eastAsia="zh-CN"/>
        </w:rPr>
      </w:pPr>
      <w:r>
        <w:rPr>
          <w:rFonts w:hint="eastAsia" w:ascii="宋体" w:hAnsi="宋体"/>
          <w:b/>
          <w:sz w:val="24"/>
        </w:rPr>
        <w:t>3、</w:t>
      </w:r>
      <w:r>
        <w:rPr>
          <w:rFonts w:hint="eastAsia" w:ascii="宋体" w:hAnsi="宋体" w:eastAsia="宋体" w:cs="Times New Roman"/>
          <w:b/>
          <w:bCs w:val="0"/>
          <w:kern w:val="0"/>
          <w:sz w:val="24"/>
          <w:szCs w:val="24"/>
          <w:lang w:val="en-US" w:eastAsia="zh-CN" w:bidi="ar"/>
        </w:rPr>
        <w:t>构建协同育人机制，推进高质量校企合作</w:t>
      </w:r>
      <w:r>
        <w:rPr>
          <w:rFonts w:hint="eastAsia" w:ascii="宋体" w:hAnsi="宋体"/>
          <w:sz w:val="24"/>
        </w:rPr>
        <w:t>：</w:t>
      </w:r>
      <w:r>
        <w:rPr>
          <w:rFonts w:hint="eastAsia" w:ascii="宋体" w:hAnsi="宋体" w:eastAsia="宋体" w:cs="Times New Roman"/>
          <w:b w:val="0"/>
          <w:bCs/>
          <w:kern w:val="2"/>
          <w:sz w:val="24"/>
          <w:szCs w:val="24"/>
          <w:lang w:val="en-US" w:eastAsia="zh-CN" w:bidi="ar-SA"/>
        </w:rPr>
        <w:t>为进一步落实落细政府对高校毕业生的就业工作举措，不断塑造城市发展新动能、新优势，今年10月，我局与江苏科技大学张家港校区共同签订政校协同育人合作框架。校政企合作是一种关注培养质量，注重学校与政府资源、信息共享，注重在校学习与企业实践相结合的“多赢”模式。党的二十大报告指出，“教育、科技、人才是全面建设社会主义现代化国家的基础性、战略性支撑。必须坚持科技是第一生产力、人才是第一资源、创新是第一动力，深入实施科教兴国战略、人才强国战略、创新驱动发展战略”。对此，要不断开辟发展新领域新赛道，塑造发展新动能新优势。会上，江苏佳成科技股份有限公司与江苏科技大学张家港校区签订了智能制造产教融合战略合作框架，涵盖了设立实习基地、共建实验室、聘任产业导师等多项内容，并向机动学院捐赠了20套PLC教学实训设备。下一步，</w:t>
      </w:r>
      <w:r>
        <w:rPr>
          <w:rFonts w:hint="eastAsia" w:cs="Times New Roman"/>
          <w:b w:val="0"/>
          <w:bCs/>
          <w:kern w:val="2"/>
          <w:sz w:val="24"/>
          <w:szCs w:val="24"/>
          <w:lang w:val="en-US" w:eastAsia="zh-CN" w:bidi="ar-SA"/>
        </w:rPr>
        <w:t>我局</w:t>
      </w:r>
      <w:r>
        <w:rPr>
          <w:rFonts w:hint="eastAsia" w:ascii="宋体" w:hAnsi="宋体" w:eastAsia="宋体" w:cs="Times New Roman"/>
          <w:b w:val="0"/>
          <w:bCs/>
          <w:kern w:val="2"/>
          <w:sz w:val="24"/>
          <w:szCs w:val="24"/>
          <w:lang w:val="en-US" w:eastAsia="zh-CN" w:bidi="ar-SA"/>
        </w:rPr>
        <w:t>将结合我市产业发展和企业所需，不断开辟校政企合作新领域、新赛道，为我市人才培养引育、产业技术创新增添强大动力，努力把智慧和力量凝聚到落实党的二十大提出的重大战略部署和各项任务要求上来</w:t>
      </w:r>
      <w:r>
        <w:rPr>
          <w:rFonts w:hint="eastAsia" w:cs="Times New Roman"/>
          <w:b w:val="0"/>
          <w:bCs/>
          <w:kern w:val="2"/>
          <w:sz w:val="24"/>
          <w:szCs w:val="24"/>
          <w:lang w:val="en-US" w:eastAsia="zh-CN" w:bidi="ar-SA"/>
        </w:rPr>
        <w:t>。</w:t>
      </w:r>
    </w:p>
    <w:p>
      <w:pPr>
        <w:adjustRightInd w:val="0"/>
        <w:snapToGrid w:val="0"/>
        <w:spacing w:line="360" w:lineRule="auto"/>
        <w:jc w:val="left"/>
        <w:rPr>
          <w:color w:val="FF000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FF6225"/>
    <w:multiLevelType w:val="multilevel"/>
    <w:tmpl w:val="59FF6225"/>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Q5NDZhMGRmMTBmNGNhZjYwNGM3NjhlZjAxNTM3NWYifQ=="/>
  </w:docVars>
  <w:rsids>
    <w:rsidRoot w:val="00F405B7"/>
    <w:rsid w:val="00006087"/>
    <w:rsid w:val="00012187"/>
    <w:rsid w:val="00013747"/>
    <w:rsid w:val="00016DE2"/>
    <w:rsid w:val="000227BC"/>
    <w:rsid w:val="0003728A"/>
    <w:rsid w:val="00043478"/>
    <w:rsid w:val="0004598D"/>
    <w:rsid w:val="000478D2"/>
    <w:rsid w:val="00050931"/>
    <w:rsid w:val="00050C5E"/>
    <w:rsid w:val="00055F6F"/>
    <w:rsid w:val="000567AE"/>
    <w:rsid w:val="000630B7"/>
    <w:rsid w:val="000664E1"/>
    <w:rsid w:val="00066803"/>
    <w:rsid w:val="000668D0"/>
    <w:rsid w:val="00066E64"/>
    <w:rsid w:val="000678B7"/>
    <w:rsid w:val="00072F3E"/>
    <w:rsid w:val="00073D32"/>
    <w:rsid w:val="000822DD"/>
    <w:rsid w:val="0008306D"/>
    <w:rsid w:val="00083974"/>
    <w:rsid w:val="00084B52"/>
    <w:rsid w:val="000855F8"/>
    <w:rsid w:val="000A071E"/>
    <w:rsid w:val="000A7056"/>
    <w:rsid w:val="000B13B0"/>
    <w:rsid w:val="000B1841"/>
    <w:rsid w:val="000B2CD7"/>
    <w:rsid w:val="000B4C20"/>
    <w:rsid w:val="000C5A43"/>
    <w:rsid w:val="000E0C58"/>
    <w:rsid w:val="000E3DFC"/>
    <w:rsid w:val="000F43F0"/>
    <w:rsid w:val="000F69C1"/>
    <w:rsid w:val="000F70AB"/>
    <w:rsid w:val="001104E1"/>
    <w:rsid w:val="00111C0D"/>
    <w:rsid w:val="001147B4"/>
    <w:rsid w:val="00117B68"/>
    <w:rsid w:val="001248F1"/>
    <w:rsid w:val="00125ACA"/>
    <w:rsid w:val="00125D19"/>
    <w:rsid w:val="001262CA"/>
    <w:rsid w:val="00140ECF"/>
    <w:rsid w:val="00142CEF"/>
    <w:rsid w:val="00147C96"/>
    <w:rsid w:val="00151CFC"/>
    <w:rsid w:val="001524CF"/>
    <w:rsid w:val="00154FC5"/>
    <w:rsid w:val="001601F0"/>
    <w:rsid w:val="001606F9"/>
    <w:rsid w:val="001613D2"/>
    <w:rsid w:val="001620C3"/>
    <w:rsid w:val="001700DA"/>
    <w:rsid w:val="00171ED5"/>
    <w:rsid w:val="00181C29"/>
    <w:rsid w:val="00181D8A"/>
    <w:rsid w:val="0018525A"/>
    <w:rsid w:val="001854EE"/>
    <w:rsid w:val="00195ECF"/>
    <w:rsid w:val="001A32CA"/>
    <w:rsid w:val="001A470E"/>
    <w:rsid w:val="001A4952"/>
    <w:rsid w:val="001A6273"/>
    <w:rsid w:val="001B037B"/>
    <w:rsid w:val="001B087F"/>
    <w:rsid w:val="001B09F5"/>
    <w:rsid w:val="001B2459"/>
    <w:rsid w:val="001B3FCA"/>
    <w:rsid w:val="001B5E81"/>
    <w:rsid w:val="001C08AC"/>
    <w:rsid w:val="001C1B7C"/>
    <w:rsid w:val="001C1C78"/>
    <w:rsid w:val="001C4DA6"/>
    <w:rsid w:val="001C7782"/>
    <w:rsid w:val="001D359B"/>
    <w:rsid w:val="001D3AEB"/>
    <w:rsid w:val="001D7844"/>
    <w:rsid w:val="001E019F"/>
    <w:rsid w:val="001E5F63"/>
    <w:rsid w:val="001F0B2B"/>
    <w:rsid w:val="001F37F6"/>
    <w:rsid w:val="001F4BA4"/>
    <w:rsid w:val="001F6B9D"/>
    <w:rsid w:val="0021663D"/>
    <w:rsid w:val="00217FFB"/>
    <w:rsid w:val="002206CB"/>
    <w:rsid w:val="0022349D"/>
    <w:rsid w:val="00224984"/>
    <w:rsid w:val="00230184"/>
    <w:rsid w:val="00232995"/>
    <w:rsid w:val="00233F65"/>
    <w:rsid w:val="002363AF"/>
    <w:rsid w:val="002413EA"/>
    <w:rsid w:val="00266D3C"/>
    <w:rsid w:val="002759FD"/>
    <w:rsid w:val="00293056"/>
    <w:rsid w:val="00295BC4"/>
    <w:rsid w:val="0029610A"/>
    <w:rsid w:val="002968C4"/>
    <w:rsid w:val="00296FFF"/>
    <w:rsid w:val="002A2CBC"/>
    <w:rsid w:val="002A46A5"/>
    <w:rsid w:val="002B0AC3"/>
    <w:rsid w:val="002B3B0B"/>
    <w:rsid w:val="002C0B62"/>
    <w:rsid w:val="002C0F56"/>
    <w:rsid w:val="002C2204"/>
    <w:rsid w:val="002C36BF"/>
    <w:rsid w:val="002C40BB"/>
    <w:rsid w:val="002C543B"/>
    <w:rsid w:val="002D1471"/>
    <w:rsid w:val="002E1C26"/>
    <w:rsid w:val="002E1E4B"/>
    <w:rsid w:val="002E5264"/>
    <w:rsid w:val="002F2362"/>
    <w:rsid w:val="00300F79"/>
    <w:rsid w:val="003057FE"/>
    <w:rsid w:val="00305C97"/>
    <w:rsid w:val="00310D90"/>
    <w:rsid w:val="00316750"/>
    <w:rsid w:val="00316E33"/>
    <w:rsid w:val="00317FED"/>
    <w:rsid w:val="00334013"/>
    <w:rsid w:val="0034498D"/>
    <w:rsid w:val="00350386"/>
    <w:rsid w:val="00350CC5"/>
    <w:rsid w:val="003525CF"/>
    <w:rsid w:val="0035797A"/>
    <w:rsid w:val="003602CB"/>
    <w:rsid w:val="00364886"/>
    <w:rsid w:val="00365C06"/>
    <w:rsid w:val="00365DBF"/>
    <w:rsid w:val="0037416C"/>
    <w:rsid w:val="0037682A"/>
    <w:rsid w:val="003862E5"/>
    <w:rsid w:val="00386B51"/>
    <w:rsid w:val="0038702D"/>
    <w:rsid w:val="00394B67"/>
    <w:rsid w:val="00396420"/>
    <w:rsid w:val="00396CE4"/>
    <w:rsid w:val="0039793E"/>
    <w:rsid w:val="003A1016"/>
    <w:rsid w:val="003A435D"/>
    <w:rsid w:val="003A63E3"/>
    <w:rsid w:val="003B0A1E"/>
    <w:rsid w:val="003B10A9"/>
    <w:rsid w:val="003B7B9C"/>
    <w:rsid w:val="003B7C59"/>
    <w:rsid w:val="003C22B3"/>
    <w:rsid w:val="003C3F32"/>
    <w:rsid w:val="003C70E4"/>
    <w:rsid w:val="003C7F36"/>
    <w:rsid w:val="003D4FF9"/>
    <w:rsid w:val="003E0FF4"/>
    <w:rsid w:val="003E2392"/>
    <w:rsid w:val="003E344F"/>
    <w:rsid w:val="003E3E7C"/>
    <w:rsid w:val="003E5D81"/>
    <w:rsid w:val="003E5F19"/>
    <w:rsid w:val="003E6823"/>
    <w:rsid w:val="003F76BB"/>
    <w:rsid w:val="00404350"/>
    <w:rsid w:val="0041029E"/>
    <w:rsid w:val="00411CF6"/>
    <w:rsid w:val="004155AB"/>
    <w:rsid w:val="004157A4"/>
    <w:rsid w:val="00416CEF"/>
    <w:rsid w:val="004217C0"/>
    <w:rsid w:val="00426ABF"/>
    <w:rsid w:val="0043424C"/>
    <w:rsid w:val="00434793"/>
    <w:rsid w:val="00446431"/>
    <w:rsid w:val="00446789"/>
    <w:rsid w:val="0045156E"/>
    <w:rsid w:val="004552CE"/>
    <w:rsid w:val="00460EB2"/>
    <w:rsid w:val="00461C2F"/>
    <w:rsid w:val="0046297A"/>
    <w:rsid w:val="004649EF"/>
    <w:rsid w:val="004658E5"/>
    <w:rsid w:val="004662E8"/>
    <w:rsid w:val="004761E3"/>
    <w:rsid w:val="00480652"/>
    <w:rsid w:val="004824B3"/>
    <w:rsid w:val="004831F4"/>
    <w:rsid w:val="0048372A"/>
    <w:rsid w:val="00484C8D"/>
    <w:rsid w:val="0049356E"/>
    <w:rsid w:val="00493D66"/>
    <w:rsid w:val="004B1FD8"/>
    <w:rsid w:val="004B56D2"/>
    <w:rsid w:val="004B7DC0"/>
    <w:rsid w:val="004C072B"/>
    <w:rsid w:val="004D1B76"/>
    <w:rsid w:val="004D2B33"/>
    <w:rsid w:val="004D3213"/>
    <w:rsid w:val="004D3255"/>
    <w:rsid w:val="004D771F"/>
    <w:rsid w:val="004D788A"/>
    <w:rsid w:val="004F2CF2"/>
    <w:rsid w:val="004F6D79"/>
    <w:rsid w:val="00501423"/>
    <w:rsid w:val="00505926"/>
    <w:rsid w:val="0050671D"/>
    <w:rsid w:val="00510977"/>
    <w:rsid w:val="00515F88"/>
    <w:rsid w:val="00532483"/>
    <w:rsid w:val="005327E0"/>
    <w:rsid w:val="005347B2"/>
    <w:rsid w:val="005375F8"/>
    <w:rsid w:val="0053791D"/>
    <w:rsid w:val="00542820"/>
    <w:rsid w:val="0054726A"/>
    <w:rsid w:val="0055092A"/>
    <w:rsid w:val="00555DBF"/>
    <w:rsid w:val="005561FC"/>
    <w:rsid w:val="005602AE"/>
    <w:rsid w:val="00560F9C"/>
    <w:rsid w:val="00567E9E"/>
    <w:rsid w:val="00572984"/>
    <w:rsid w:val="00572F2E"/>
    <w:rsid w:val="00574251"/>
    <w:rsid w:val="00576A8B"/>
    <w:rsid w:val="00577FFC"/>
    <w:rsid w:val="005849DD"/>
    <w:rsid w:val="005A19C5"/>
    <w:rsid w:val="005A63C8"/>
    <w:rsid w:val="005A68C0"/>
    <w:rsid w:val="005B45EE"/>
    <w:rsid w:val="005B48DB"/>
    <w:rsid w:val="005B58BD"/>
    <w:rsid w:val="005B6CD4"/>
    <w:rsid w:val="005E0DE4"/>
    <w:rsid w:val="005E1B00"/>
    <w:rsid w:val="005E33BF"/>
    <w:rsid w:val="005E3AEE"/>
    <w:rsid w:val="005E68FC"/>
    <w:rsid w:val="005E730F"/>
    <w:rsid w:val="005F03D4"/>
    <w:rsid w:val="005F3125"/>
    <w:rsid w:val="005F3491"/>
    <w:rsid w:val="005F4F7A"/>
    <w:rsid w:val="0060024B"/>
    <w:rsid w:val="00601A40"/>
    <w:rsid w:val="006029C7"/>
    <w:rsid w:val="00615568"/>
    <w:rsid w:val="00624F33"/>
    <w:rsid w:val="006338B7"/>
    <w:rsid w:val="006345B3"/>
    <w:rsid w:val="00635277"/>
    <w:rsid w:val="00636F84"/>
    <w:rsid w:val="0063720E"/>
    <w:rsid w:val="00644F71"/>
    <w:rsid w:val="006529F2"/>
    <w:rsid w:val="00655D80"/>
    <w:rsid w:val="00657BBE"/>
    <w:rsid w:val="00660CD2"/>
    <w:rsid w:val="00660FCC"/>
    <w:rsid w:val="0066256E"/>
    <w:rsid w:val="0066299E"/>
    <w:rsid w:val="00663532"/>
    <w:rsid w:val="00663BC9"/>
    <w:rsid w:val="0066526C"/>
    <w:rsid w:val="0066534A"/>
    <w:rsid w:val="006732D8"/>
    <w:rsid w:val="0067391E"/>
    <w:rsid w:val="0068266E"/>
    <w:rsid w:val="00682C1A"/>
    <w:rsid w:val="00687CEA"/>
    <w:rsid w:val="006907AE"/>
    <w:rsid w:val="00690D78"/>
    <w:rsid w:val="006935F1"/>
    <w:rsid w:val="006A183A"/>
    <w:rsid w:val="006A44D0"/>
    <w:rsid w:val="006B101D"/>
    <w:rsid w:val="006C0526"/>
    <w:rsid w:val="006C6E58"/>
    <w:rsid w:val="006D1DA3"/>
    <w:rsid w:val="006D1E52"/>
    <w:rsid w:val="006D5FD7"/>
    <w:rsid w:val="006D64DF"/>
    <w:rsid w:val="006D66BF"/>
    <w:rsid w:val="006D69D6"/>
    <w:rsid w:val="006D7F24"/>
    <w:rsid w:val="006E58D8"/>
    <w:rsid w:val="006E7CE7"/>
    <w:rsid w:val="006F4C5A"/>
    <w:rsid w:val="007050CC"/>
    <w:rsid w:val="00707CBE"/>
    <w:rsid w:val="0071237C"/>
    <w:rsid w:val="00721CA6"/>
    <w:rsid w:val="007308D9"/>
    <w:rsid w:val="0073093F"/>
    <w:rsid w:val="007337C5"/>
    <w:rsid w:val="00733888"/>
    <w:rsid w:val="007441F8"/>
    <w:rsid w:val="007500E3"/>
    <w:rsid w:val="0075017F"/>
    <w:rsid w:val="00751689"/>
    <w:rsid w:val="007544E0"/>
    <w:rsid w:val="00754822"/>
    <w:rsid w:val="007626EE"/>
    <w:rsid w:val="00763B3C"/>
    <w:rsid w:val="00765DFE"/>
    <w:rsid w:val="00767F43"/>
    <w:rsid w:val="00771AA7"/>
    <w:rsid w:val="00773D0D"/>
    <w:rsid w:val="007817B4"/>
    <w:rsid w:val="00783799"/>
    <w:rsid w:val="00783EC3"/>
    <w:rsid w:val="00785435"/>
    <w:rsid w:val="007870FA"/>
    <w:rsid w:val="00787A20"/>
    <w:rsid w:val="00791068"/>
    <w:rsid w:val="0079257B"/>
    <w:rsid w:val="00792B24"/>
    <w:rsid w:val="00792B27"/>
    <w:rsid w:val="00792C22"/>
    <w:rsid w:val="00793D18"/>
    <w:rsid w:val="00794105"/>
    <w:rsid w:val="00794DFF"/>
    <w:rsid w:val="00796679"/>
    <w:rsid w:val="007A04E1"/>
    <w:rsid w:val="007A08B1"/>
    <w:rsid w:val="007A45F5"/>
    <w:rsid w:val="007A5F3C"/>
    <w:rsid w:val="007C2D56"/>
    <w:rsid w:val="007C3858"/>
    <w:rsid w:val="007C5652"/>
    <w:rsid w:val="007C683E"/>
    <w:rsid w:val="007C6B7A"/>
    <w:rsid w:val="007D5489"/>
    <w:rsid w:val="007D7010"/>
    <w:rsid w:val="007D7D7C"/>
    <w:rsid w:val="007E3461"/>
    <w:rsid w:val="007E4857"/>
    <w:rsid w:val="007E6AD5"/>
    <w:rsid w:val="007F0325"/>
    <w:rsid w:val="00800640"/>
    <w:rsid w:val="008020D2"/>
    <w:rsid w:val="00804439"/>
    <w:rsid w:val="00806020"/>
    <w:rsid w:val="00810D15"/>
    <w:rsid w:val="0081548D"/>
    <w:rsid w:val="008210BC"/>
    <w:rsid w:val="00823807"/>
    <w:rsid w:val="00831DD2"/>
    <w:rsid w:val="00831EBD"/>
    <w:rsid w:val="00832721"/>
    <w:rsid w:val="00835DF9"/>
    <w:rsid w:val="008418E0"/>
    <w:rsid w:val="0084463E"/>
    <w:rsid w:val="00845C43"/>
    <w:rsid w:val="00847A0F"/>
    <w:rsid w:val="008531A0"/>
    <w:rsid w:val="00861A84"/>
    <w:rsid w:val="00862308"/>
    <w:rsid w:val="00862B90"/>
    <w:rsid w:val="00862E72"/>
    <w:rsid w:val="00871605"/>
    <w:rsid w:val="00875A1D"/>
    <w:rsid w:val="008834A3"/>
    <w:rsid w:val="00884504"/>
    <w:rsid w:val="00886267"/>
    <w:rsid w:val="00891677"/>
    <w:rsid w:val="008A03FC"/>
    <w:rsid w:val="008B47A0"/>
    <w:rsid w:val="008B6931"/>
    <w:rsid w:val="008C345D"/>
    <w:rsid w:val="008C3B2B"/>
    <w:rsid w:val="008D0951"/>
    <w:rsid w:val="008D21D4"/>
    <w:rsid w:val="008D2C4D"/>
    <w:rsid w:val="008D4AEF"/>
    <w:rsid w:val="008E060A"/>
    <w:rsid w:val="008E63F3"/>
    <w:rsid w:val="008E769A"/>
    <w:rsid w:val="008F070C"/>
    <w:rsid w:val="008F326D"/>
    <w:rsid w:val="008F4441"/>
    <w:rsid w:val="009050B8"/>
    <w:rsid w:val="00907D3D"/>
    <w:rsid w:val="00915D9F"/>
    <w:rsid w:val="0091798E"/>
    <w:rsid w:val="009213D5"/>
    <w:rsid w:val="00921E26"/>
    <w:rsid w:val="00925555"/>
    <w:rsid w:val="00925B07"/>
    <w:rsid w:val="009266E7"/>
    <w:rsid w:val="009279F8"/>
    <w:rsid w:val="00931F21"/>
    <w:rsid w:val="009345E9"/>
    <w:rsid w:val="00935F12"/>
    <w:rsid w:val="00937F11"/>
    <w:rsid w:val="00946E5E"/>
    <w:rsid w:val="00953551"/>
    <w:rsid w:val="009544BB"/>
    <w:rsid w:val="00962ECA"/>
    <w:rsid w:val="00967D1D"/>
    <w:rsid w:val="00971C63"/>
    <w:rsid w:val="00974709"/>
    <w:rsid w:val="0098696C"/>
    <w:rsid w:val="009927FE"/>
    <w:rsid w:val="00994803"/>
    <w:rsid w:val="00996CF9"/>
    <w:rsid w:val="009A72D9"/>
    <w:rsid w:val="009B6F09"/>
    <w:rsid w:val="009B79B9"/>
    <w:rsid w:val="009C0BA4"/>
    <w:rsid w:val="009C254E"/>
    <w:rsid w:val="009C46D4"/>
    <w:rsid w:val="009D30A0"/>
    <w:rsid w:val="009D3504"/>
    <w:rsid w:val="009D4691"/>
    <w:rsid w:val="009D6100"/>
    <w:rsid w:val="009D7D3E"/>
    <w:rsid w:val="009E27FD"/>
    <w:rsid w:val="009E4357"/>
    <w:rsid w:val="009E4BA6"/>
    <w:rsid w:val="009E56DB"/>
    <w:rsid w:val="009E5C74"/>
    <w:rsid w:val="009E730A"/>
    <w:rsid w:val="009F0169"/>
    <w:rsid w:val="009F37EA"/>
    <w:rsid w:val="009F5413"/>
    <w:rsid w:val="009F5867"/>
    <w:rsid w:val="009F5A48"/>
    <w:rsid w:val="009F5BD4"/>
    <w:rsid w:val="009F78A4"/>
    <w:rsid w:val="00A05C3E"/>
    <w:rsid w:val="00A0654C"/>
    <w:rsid w:val="00A14F29"/>
    <w:rsid w:val="00A1672A"/>
    <w:rsid w:val="00A1758B"/>
    <w:rsid w:val="00A228CE"/>
    <w:rsid w:val="00A23620"/>
    <w:rsid w:val="00A27F20"/>
    <w:rsid w:val="00A30150"/>
    <w:rsid w:val="00A30A13"/>
    <w:rsid w:val="00A33CD7"/>
    <w:rsid w:val="00A34FFA"/>
    <w:rsid w:val="00A36AC2"/>
    <w:rsid w:val="00A3720C"/>
    <w:rsid w:val="00A61F72"/>
    <w:rsid w:val="00A63CB8"/>
    <w:rsid w:val="00A70EE8"/>
    <w:rsid w:val="00A72663"/>
    <w:rsid w:val="00A7395D"/>
    <w:rsid w:val="00A73A2F"/>
    <w:rsid w:val="00A81BCF"/>
    <w:rsid w:val="00A81DBE"/>
    <w:rsid w:val="00A83B87"/>
    <w:rsid w:val="00A859F4"/>
    <w:rsid w:val="00A85CD4"/>
    <w:rsid w:val="00A863BE"/>
    <w:rsid w:val="00A917F3"/>
    <w:rsid w:val="00A91F4B"/>
    <w:rsid w:val="00A92CB6"/>
    <w:rsid w:val="00A9336F"/>
    <w:rsid w:val="00A97718"/>
    <w:rsid w:val="00AA0A9E"/>
    <w:rsid w:val="00AA1BBA"/>
    <w:rsid w:val="00AA7153"/>
    <w:rsid w:val="00AB187F"/>
    <w:rsid w:val="00AB46FD"/>
    <w:rsid w:val="00AC1A63"/>
    <w:rsid w:val="00AC2E67"/>
    <w:rsid w:val="00AC6FE2"/>
    <w:rsid w:val="00AD1F99"/>
    <w:rsid w:val="00AE2B40"/>
    <w:rsid w:val="00AE3CCC"/>
    <w:rsid w:val="00AE46CF"/>
    <w:rsid w:val="00AF632A"/>
    <w:rsid w:val="00AF7802"/>
    <w:rsid w:val="00B018C2"/>
    <w:rsid w:val="00B02153"/>
    <w:rsid w:val="00B04B64"/>
    <w:rsid w:val="00B06D17"/>
    <w:rsid w:val="00B1537E"/>
    <w:rsid w:val="00B218B9"/>
    <w:rsid w:val="00B237B1"/>
    <w:rsid w:val="00B26ADC"/>
    <w:rsid w:val="00B279B2"/>
    <w:rsid w:val="00B27E4A"/>
    <w:rsid w:val="00B32132"/>
    <w:rsid w:val="00B33FAF"/>
    <w:rsid w:val="00B34543"/>
    <w:rsid w:val="00B35DFB"/>
    <w:rsid w:val="00B36E28"/>
    <w:rsid w:val="00B403CA"/>
    <w:rsid w:val="00B4081E"/>
    <w:rsid w:val="00B43410"/>
    <w:rsid w:val="00B45474"/>
    <w:rsid w:val="00B53306"/>
    <w:rsid w:val="00B53FA0"/>
    <w:rsid w:val="00B55690"/>
    <w:rsid w:val="00B6017D"/>
    <w:rsid w:val="00B63390"/>
    <w:rsid w:val="00B654DE"/>
    <w:rsid w:val="00B65530"/>
    <w:rsid w:val="00B72DAB"/>
    <w:rsid w:val="00B76220"/>
    <w:rsid w:val="00B80206"/>
    <w:rsid w:val="00B80CBC"/>
    <w:rsid w:val="00B811B1"/>
    <w:rsid w:val="00B81A9C"/>
    <w:rsid w:val="00B92685"/>
    <w:rsid w:val="00B96832"/>
    <w:rsid w:val="00BA2331"/>
    <w:rsid w:val="00BA2C24"/>
    <w:rsid w:val="00BA774D"/>
    <w:rsid w:val="00BB0A96"/>
    <w:rsid w:val="00BB218E"/>
    <w:rsid w:val="00BB461C"/>
    <w:rsid w:val="00BC61A3"/>
    <w:rsid w:val="00BC7068"/>
    <w:rsid w:val="00BC7209"/>
    <w:rsid w:val="00BD31F4"/>
    <w:rsid w:val="00BD5BAB"/>
    <w:rsid w:val="00BD5CE8"/>
    <w:rsid w:val="00BE0B03"/>
    <w:rsid w:val="00BE71B6"/>
    <w:rsid w:val="00C05E88"/>
    <w:rsid w:val="00C15CBE"/>
    <w:rsid w:val="00C212EA"/>
    <w:rsid w:val="00C2355A"/>
    <w:rsid w:val="00C2637E"/>
    <w:rsid w:val="00C276F7"/>
    <w:rsid w:val="00C3092F"/>
    <w:rsid w:val="00C312AB"/>
    <w:rsid w:val="00C32C85"/>
    <w:rsid w:val="00C3378E"/>
    <w:rsid w:val="00C433FC"/>
    <w:rsid w:val="00C4411B"/>
    <w:rsid w:val="00C4487F"/>
    <w:rsid w:val="00C462C5"/>
    <w:rsid w:val="00C540B9"/>
    <w:rsid w:val="00C6450D"/>
    <w:rsid w:val="00C662DD"/>
    <w:rsid w:val="00C70B3E"/>
    <w:rsid w:val="00C70DAE"/>
    <w:rsid w:val="00C70E09"/>
    <w:rsid w:val="00C70FD9"/>
    <w:rsid w:val="00C712FF"/>
    <w:rsid w:val="00C72294"/>
    <w:rsid w:val="00C7449F"/>
    <w:rsid w:val="00C74A6B"/>
    <w:rsid w:val="00C84F34"/>
    <w:rsid w:val="00C9088D"/>
    <w:rsid w:val="00C93E10"/>
    <w:rsid w:val="00CA3F5F"/>
    <w:rsid w:val="00CA57D1"/>
    <w:rsid w:val="00CA65EC"/>
    <w:rsid w:val="00CB026A"/>
    <w:rsid w:val="00CB4F17"/>
    <w:rsid w:val="00CB696E"/>
    <w:rsid w:val="00CC0A78"/>
    <w:rsid w:val="00CC0C51"/>
    <w:rsid w:val="00CC1763"/>
    <w:rsid w:val="00CC6FAD"/>
    <w:rsid w:val="00CD699A"/>
    <w:rsid w:val="00CE6244"/>
    <w:rsid w:val="00CF04EC"/>
    <w:rsid w:val="00CF571E"/>
    <w:rsid w:val="00CF6009"/>
    <w:rsid w:val="00CF7040"/>
    <w:rsid w:val="00D00843"/>
    <w:rsid w:val="00D010A3"/>
    <w:rsid w:val="00D04F55"/>
    <w:rsid w:val="00D15DFC"/>
    <w:rsid w:val="00D17005"/>
    <w:rsid w:val="00D201F9"/>
    <w:rsid w:val="00D22C4E"/>
    <w:rsid w:val="00D23BB0"/>
    <w:rsid w:val="00D25ECF"/>
    <w:rsid w:val="00D26DF4"/>
    <w:rsid w:val="00D31854"/>
    <w:rsid w:val="00D31F7B"/>
    <w:rsid w:val="00D343F5"/>
    <w:rsid w:val="00D36DF7"/>
    <w:rsid w:val="00D40E79"/>
    <w:rsid w:val="00D476BC"/>
    <w:rsid w:val="00D5000C"/>
    <w:rsid w:val="00D562FA"/>
    <w:rsid w:val="00D5649E"/>
    <w:rsid w:val="00D61098"/>
    <w:rsid w:val="00D662E7"/>
    <w:rsid w:val="00D6764E"/>
    <w:rsid w:val="00D75549"/>
    <w:rsid w:val="00D75E14"/>
    <w:rsid w:val="00D8630A"/>
    <w:rsid w:val="00D90FAA"/>
    <w:rsid w:val="00D92B3C"/>
    <w:rsid w:val="00DA21EE"/>
    <w:rsid w:val="00DA3B3C"/>
    <w:rsid w:val="00DA68D5"/>
    <w:rsid w:val="00DB6E7B"/>
    <w:rsid w:val="00DC3B9A"/>
    <w:rsid w:val="00DC7EF5"/>
    <w:rsid w:val="00DD62DE"/>
    <w:rsid w:val="00DE062E"/>
    <w:rsid w:val="00DF20B1"/>
    <w:rsid w:val="00DF43A6"/>
    <w:rsid w:val="00DF4600"/>
    <w:rsid w:val="00DF6F42"/>
    <w:rsid w:val="00E07375"/>
    <w:rsid w:val="00E07749"/>
    <w:rsid w:val="00E11BBE"/>
    <w:rsid w:val="00E20F80"/>
    <w:rsid w:val="00E220D9"/>
    <w:rsid w:val="00E22847"/>
    <w:rsid w:val="00E24576"/>
    <w:rsid w:val="00E44341"/>
    <w:rsid w:val="00E447F7"/>
    <w:rsid w:val="00E47187"/>
    <w:rsid w:val="00E47311"/>
    <w:rsid w:val="00E52CAC"/>
    <w:rsid w:val="00E53D01"/>
    <w:rsid w:val="00E556B6"/>
    <w:rsid w:val="00E5579B"/>
    <w:rsid w:val="00E578EE"/>
    <w:rsid w:val="00E614A0"/>
    <w:rsid w:val="00E62C9E"/>
    <w:rsid w:val="00E701D7"/>
    <w:rsid w:val="00E769CE"/>
    <w:rsid w:val="00E85996"/>
    <w:rsid w:val="00E866B7"/>
    <w:rsid w:val="00E94C11"/>
    <w:rsid w:val="00E9539B"/>
    <w:rsid w:val="00E97EC2"/>
    <w:rsid w:val="00EA010D"/>
    <w:rsid w:val="00EA37AC"/>
    <w:rsid w:val="00EA5687"/>
    <w:rsid w:val="00EA59B1"/>
    <w:rsid w:val="00EA5D5F"/>
    <w:rsid w:val="00EA68EE"/>
    <w:rsid w:val="00EB15F4"/>
    <w:rsid w:val="00EC0AAF"/>
    <w:rsid w:val="00EC135C"/>
    <w:rsid w:val="00EC31B6"/>
    <w:rsid w:val="00EC61A7"/>
    <w:rsid w:val="00EC64D4"/>
    <w:rsid w:val="00EC7C66"/>
    <w:rsid w:val="00EE0FF5"/>
    <w:rsid w:val="00EE3BDA"/>
    <w:rsid w:val="00EE401A"/>
    <w:rsid w:val="00EE5E1F"/>
    <w:rsid w:val="00EF1CC5"/>
    <w:rsid w:val="00EF33A8"/>
    <w:rsid w:val="00EF3596"/>
    <w:rsid w:val="00EF4AEE"/>
    <w:rsid w:val="00EF4DA4"/>
    <w:rsid w:val="00EF718F"/>
    <w:rsid w:val="00F01B8F"/>
    <w:rsid w:val="00F05E09"/>
    <w:rsid w:val="00F07F4B"/>
    <w:rsid w:val="00F10138"/>
    <w:rsid w:val="00F12209"/>
    <w:rsid w:val="00F15A3B"/>
    <w:rsid w:val="00F1671E"/>
    <w:rsid w:val="00F20112"/>
    <w:rsid w:val="00F252E9"/>
    <w:rsid w:val="00F3745C"/>
    <w:rsid w:val="00F37EB2"/>
    <w:rsid w:val="00F37F6A"/>
    <w:rsid w:val="00F405B7"/>
    <w:rsid w:val="00F409B1"/>
    <w:rsid w:val="00F40A94"/>
    <w:rsid w:val="00F40AB4"/>
    <w:rsid w:val="00F42776"/>
    <w:rsid w:val="00F4737B"/>
    <w:rsid w:val="00F47F50"/>
    <w:rsid w:val="00F51704"/>
    <w:rsid w:val="00F5474D"/>
    <w:rsid w:val="00F54F9C"/>
    <w:rsid w:val="00F57C8A"/>
    <w:rsid w:val="00F659C7"/>
    <w:rsid w:val="00F70DA4"/>
    <w:rsid w:val="00F71DF6"/>
    <w:rsid w:val="00F74F58"/>
    <w:rsid w:val="00F750BE"/>
    <w:rsid w:val="00F77823"/>
    <w:rsid w:val="00F82995"/>
    <w:rsid w:val="00F860D4"/>
    <w:rsid w:val="00F9028C"/>
    <w:rsid w:val="00F91CCE"/>
    <w:rsid w:val="00F9235D"/>
    <w:rsid w:val="00F96D73"/>
    <w:rsid w:val="00F96E84"/>
    <w:rsid w:val="00F9739B"/>
    <w:rsid w:val="00FA7193"/>
    <w:rsid w:val="00FA7B4B"/>
    <w:rsid w:val="00FB3048"/>
    <w:rsid w:val="00FB5BE9"/>
    <w:rsid w:val="00FB656D"/>
    <w:rsid w:val="00FB6E23"/>
    <w:rsid w:val="00FB7EC7"/>
    <w:rsid w:val="00FC0692"/>
    <w:rsid w:val="00FC5A9D"/>
    <w:rsid w:val="00FD2ED4"/>
    <w:rsid w:val="00FD320D"/>
    <w:rsid w:val="00FD3F40"/>
    <w:rsid w:val="00FD67E6"/>
    <w:rsid w:val="00FE0A64"/>
    <w:rsid w:val="01276EE8"/>
    <w:rsid w:val="016043AA"/>
    <w:rsid w:val="01CC65FD"/>
    <w:rsid w:val="02600504"/>
    <w:rsid w:val="027A76EE"/>
    <w:rsid w:val="039447DF"/>
    <w:rsid w:val="04F65062"/>
    <w:rsid w:val="06606BFB"/>
    <w:rsid w:val="080A1514"/>
    <w:rsid w:val="0BCD7620"/>
    <w:rsid w:val="0D133A1F"/>
    <w:rsid w:val="0DA254D8"/>
    <w:rsid w:val="0E4F332A"/>
    <w:rsid w:val="0FBE0066"/>
    <w:rsid w:val="10B65D95"/>
    <w:rsid w:val="112F5B47"/>
    <w:rsid w:val="12E017EF"/>
    <w:rsid w:val="143040B0"/>
    <w:rsid w:val="165E1976"/>
    <w:rsid w:val="165F0455"/>
    <w:rsid w:val="16D03928"/>
    <w:rsid w:val="171D2EE8"/>
    <w:rsid w:val="17463BEB"/>
    <w:rsid w:val="18D92F68"/>
    <w:rsid w:val="18D95609"/>
    <w:rsid w:val="1930537C"/>
    <w:rsid w:val="19E576EB"/>
    <w:rsid w:val="1A497C7A"/>
    <w:rsid w:val="1B24475F"/>
    <w:rsid w:val="1C2C1B1A"/>
    <w:rsid w:val="1CB40D12"/>
    <w:rsid w:val="1CC17059"/>
    <w:rsid w:val="1D7315FE"/>
    <w:rsid w:val="1F18526B"/>
    <w:rsid w:val="1F4A60B4"/>
    <w:rsid w:val="20A72B06"/>
    <w:rsid w:val="20E66BBC"/>
    <w:rsid w:val="21412C93"/>
    <w:rsid w:val="23097FD3"/>
    <w:rsid w:val="248D2E59"/>
    <w:rsid w:val="25115838"/>
    <w:rsid w:val="275544FE"/>
    <w:rsid w:val="296B7D86"/>
    <w:rsid w:val="2A32072A"/>
    <w:rsid w:val="2ADF3CE2"/>
    <w:rsid w:val="2B267C2C"/>
    <w:rsid w:val="2B58324B"/>
    <w:rsid w:val="2D4B38B1"/>
    <w:rsid w:val="2E073C78"/>
    <w:rsid w:val="2E46039E"/>
    <w:rsid w:val="2E7B1445"/>
    <w:rsid w:val="2EF91EDC"/>
    <w:rsid w:val="2F452CAE"/>
    <w:rsid w:val="2FF13BF2"/>
    <w:rsid w:val="325274FF"/>
    <w:rsid w:val="32D76AE7"/>
    <w:rsid w:val="333C7DDE"/>
    <w:rsid w:val="33A4032C"/>
    <w:rsid w:val="33E16400"/>
    <w:rsid w:val="34F21A21"/>
    <w:rsid w:val="353A4937"/>
    <w:rsid w:val="35D703D8"/>
    <w:rsid w:val="376037DD"/>
    <w:rsid w:val="37A91900"/>
    <w:rsid w:val="3AC86FBB"/>
    <w:rsid w:val="3B114DF7"/>
    <w:rsid w:val="3D436353"/>
    <w:rsid w:val="3DD376D7"/>
    <w:rsid w:val="3ED9165E"/>
    <w:rsid w:val="3F285800"/>
    <w:rsid w:val="40354679"/>
    <w:rsid w:val="413B1790"/>
    <w:rsid w:val="42482694"/>
    <w:rsid w:val="44945DD7"/>
    <w:rsid w:val="45A2455E"/>
    <w:rsid w:val="476B6BD2"/>
    <w:rsid w:val="47E36CF9"/>
    <w:rsid w:val="48186781"/>
    <w:rsid w:val="49AF0FF8"/>
    <w:rsid w:val="4D0C050F"/>
    <w:rsid w:val="4D422183"/>
    <w:rsid w:val="4D460FB1"/>
    <w:rsid w:val="4F7E64C7"/>
    <w:rsid w:val="4FF7351B"/>
    <w:rsid w:val="51930FD3"/>
    <w:rsid w:val="5229020B"/>
    <w:rsid w:val="52735E42"/>
    <w:rsid w:val="52950FA7"/>
    <w:rsid w:val="54FE70B6"/>
    <w:rsid w:val="56011B60"/>
    <w:rsid w:val="564231F4"/>
    <w:rsid w:val="56554CD5"/>
    <w:rsid w:val="57077AC2"/>
    <w:rsid w:val="583A6878"/>
    <w:rsid w:val="594159E5"/>
    <w:rsid w:val="5D7B1CC1"/>
    <w:rsid w:val="5D8C4DAE"/>
    <w:rsid w:val="5ED115B9"/>
    <w:rsid w:val="602E60BA"/>
    <w:rsid w:val="610E08A2"/>
    <w:rsid w:val="64EF7C62"/>
    <w:rsid w:val="65D6012C"/>
    <w:rsid w:val="6612673F"/>
    <w:rsid w:val="674943E2"/>
    <w:rsid w:val="6818595B"/>
    <w:rsid w:val="68CF4340"/>
    <w:rsid w:val="68DC4DE2"/>
    <w:rsid w:val="69CC12FA"/>
    <w:rsid w:val="69CE6E20"/>
    <w:rsid w:val="6BBD5ED0"/>
    <w:rsid w:val="6BBF6898"/>
    <w:rsid w:val="6BDA7CFF"/>
    <w:rsid w:val="6D0019E7"/>
    <w:rsid w:val="6E8842D7"/>
    <w:rsid w:val="6E9D553D"/>
    <w:rsid w:val="6F5C0A2B"/>
    <w:rsid w:val="715A6CDB"/>
    <w:rsid w:val="728C7879"/>
    <w:rsid w:val="72DF209E"/>
    <w:rsid w:val="731A1328"/>
    <w:rsid w:val="734300DC"/>
    <w:rsid w:val="73BB0416"/>
    <w:rsid w:val="75241FEA"/>
    <w:rsid w:val="75FF0362"/>
    <w:rsid w:val="76AA32D9"/>
    <w:rsid w:val="77057911"/>
    <w:rsid w:val="77245B9A"/>
    <w:rsid w:val="7969142D"/>
    <w:rsid w:val="79AE38A9"/>
    <w:rsid w:val="7A500CBF"/>
    <w:rsid w:val="7A560AC8"/>
    <w:rsid w:val="7C174657"/>
    <w:rsid w:val="7C7F3FAA"/>
    <w:rsid w:val="7CAB2DCD"/>
    <w:rsid w:val="7D4B14A7"/>
    <w:rsid w:val="7D7A006B"/>
    <w:rsid w:val="7D9577C3"/>
    <w:rsid w:val="7EE66563"/>
    <w:rsid w:val="7F1A3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0">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Document Map"/>
    <w:basedOn w:val="1"/>
    <w:link w:val="17"/>
    <w:semiHidden/>
    <w:qFormat/>
    <w:uiPriority w:val="0"/>
    <w:pPr>
      <w:shd w:val="clear" w:color="auto" w:fill="000080"/>
    </w:pPr>
  </w:style>
  <w:style w:type="paragraph" w:styleId="4">
    <w:name w:val="Balloon Text"/>
    <w:basedOn w:val="1"/>
    <w:link w:val="15"/>
    <w:semiHidden/>
    <w:unhideWhenUsed/>
    <w:qFormat/>
    <w:uiPriority w:val="0"/>
    <w:rPr>
      <w:sz w:val="18"/>
      <w:szCs w:val="18"/>
    </w:rPr>
  </w:style>
  <w:style w:type="paragraph" w:styleId="5">
    <w:name w:val="footer"/>
    <w:basedOn w:val="1"/>
    <w:link w:val="14"/>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3"/>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1">
    <w:name w:val="Strong"/>
    <w:basedOn w:val="10"/>
    <w:qFormat/>
    <w:uiPriority w:val="0"/>
    <w:rPr>
      <w:b/>
      <w:bCs/>
    </w:rPr>
  </w:style>
  <w:style w:type="character" w:styleId="12">
    <w:name w:val="page number"/>
    <w:basedOn w:val="10"/>
    <w:qFormat/>
    <w:uiPriority w:val="0"/>
  </w:style>
  <w:style w:type="character" w:customStyle="1" w:styleId="13">
    <w:name w:val="页眉 Char"/>
    <w:basedOn w:val="10"/>
    <w:link w:val="6"/>
    <w:qFormat/>
    <w:uiPriority w:val="0"/>
    <w:rPr>
      <w:sz w:val="18"/>
      <w:szCs w:val="18"/>
    </w:rPr>
  </w:style>
  <w:style w:type="character" w:customStyle="1" w:styleId="14">
    <w:name w:val="页脚 Char"/>
    <w:basedOn w:val="10"/>
    <w:link w:val="5"/>
    <w:semiHidden/>
    <w:qFormat/>
    <w:uiPriority w:val="99"/>
    <w:rPr>
      <w:sz w:val="18"/>
      <w:szCs w:val="18"/>
    </w:rPr>
  </w:style>
  <w:style w:type="character" w:customStyle="1" w:styleId="15">
    <w:name w:val="批注框文本 Char"/>
    <w:basedOn w:val="10"/>
    <w:link w:val="4"/>
    <w:semiHidden/>
    <w:qFormat/>
    <w:uiPriority w:val="99"/>
    <w:rPr>
      <w:rFonts w:ascii="Times New Roman" w:hAnsi="Times New Roman" w:eastAsia="宋体" w:cs="Times New Roman"/>
      <w:sz w:val="18"/>
      <w:szCs w:val="18"/>
    </w:rPr>
  </w:style>
  <w:style w:type="paragraph" w:customStyle="1" w:styleId="16">
    <w:name w:val="Char Char Char Char"/>
    <w:basedOn w:val="3"/>
    <w:qFormat/>
    <w:uiPriority w:val="0"/>
    <w:pPr>
      <w:widowControl/>
      <w:ind w:firstLine="454"/>
      <w:jc w:val="left"/>
    </w:pPr>
    <w:rPr>
      <w:rFonts w:ascii="Tahoma" w:hAnsi="Tahoma" w:cs="宋体"/>
      <w:kern w:val="0"/>
      <w:szCs w:val="20"/>
    </w:rPr>
  </w:style>
  <w:style w:type="character" w:customStyle="1" w:styleId="17">
    <w:name w:val="文档结构图 Char"/>
    <w:basedOn w:val="10"/>
    <w:link w:val="3"/>
    <w:semiHidden/>
    <w:qFormat/>
    <w:uiPriority w:val="0"/>
    <w:rPr>
      <w:rFonts w:ascii="Times New Roman" w:hAnsi="Times New Roman" w:eastAsia="宋体" w:cs="Times New Roman"/>
      <w:szCs w:val="24"/>
      <w:shd w:val="clear" w:color="auto" w:fill="000080"/>
    </w:rPr>
  </w:style>
  <w:style w:type="paragraph" w:customStyle="1" w:styleId="18">
    <w:name w:val="Char"/>
    <w:basedOn w:val="1"/>
    <w:qFormat/>
    <w:uiPriority w:val="0"/>
    <w:rPr>
      <w:rFonts w:ascii="Tahoma" w:hAnsi="Tahoma"/>
      <w:sz w:val="24"/>
      <w:szCs w:val="20"/>
    </w:rPr>
  </w:style>
  <w:style w:type="paragraph" w:customStyle="1" w:styleId="19">
    <w:name w:val="p0"/>
    <w:basedOn w:val="1"/>
    <w:qFormat/>
    <w:uiPriority w:val="0"/>
    <w:pPr>
      <w:widowControl/>
    </w:pPr>
    <w:rPr>
      <w:kern w:val="0"/>
      <w:szCs w:val="20"/>
    </w:rPr>
  </w:style>
  <w:style w:type="paragraph" w:styleId="2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07407407407407"/>
          <c:y val="0.0851637764932564"/>
          <c:w val="0.652706552706553"/>
          <c:h val="0.712909441233142"/>
        </c:manualLayout>
      </c:layout>
      <c:lineChart>
        <c:grouping val="standard"/>
        <c:varyColors val="0"/>
        <c:ser>
          <c:idx val="0"/>
          <c:order val="0"/>
          <c:tx>
            <c:strRef>
              <c:f>Sheet1!$B$1</c:f>
              <c:strCache>
                <c:ptCount val="1"/>
                <c:pt idx="0">
                  <c:v>2021年求人倍率</c:v>
                </c:pt>
              </c:strCache>
            </c:strRef>
          </c:tx>
          <c:dLbls>
            <c:delete val="1"/>
          </c:dLbls>
          <c:cat>
            <c:strRef>
              <c:f>Sheet1!$A$2:$A$13</c:f>
              <c:strCache>
                <c:ptCount val="12"/>
                <c:pt idx="0">
                  <c:v>一月</c:v>
                </c:pt>
                <c:pt idx="1">
                  <c:v>二月</c:v>
                </c:pt>
                <c:pt idx="2">
                  <c:v>三月</c:v>
                </c:pt>
                <c:pt idx="3">
                  <c:v>四月</c:v>
                </c:pt>
                <c:pt idx="4">
                  <c:v>五月</c:v>
                </c:pt>
                <c:pt idx="5">
                  <c:v>六月</c:v>
                </c:pt>
                <c:pt idx="6">
                  <c:v>七月</c:v>
                </c:pt>
                <c:pt idx="7">
                  <c:v>八月</c:v>
                </c:pt>
                <c:pt idx="8">
                  <c:v>九月</c:v>
                </c:pt>
                <c:pt idx="9">
                  <c:v>十月</c:v>
                </c:pt>
                <c:pt idx="10">
                  <c:v>十一月</c:v>
                </c:pt>
                <c:pt idx="11">
                  <c:v>十二月</c:v>
                </c:pt>
              </c:strCache>
            </c:strRef>
          </c:cat>
          <c:val>
            <c:numRef>
              <c:f>Sheet1!$B$2:$B$13</c:f>
              <c:numCache>
                <c:formatCode>General</c:formatCode>
                <c:ptCount val="12"/>
                <c:pt idx="0">
                  <c:v>1.27</c:v>
                </c:pt>
                <c:pt idx="1">
                  <c:v>1.25</c:v>
                </c:pt>
                <c:pt idx="2">
                  <c:v>1.24</c:v>
                </c:pt>
                <c:pt idx="3">
                  <c:v>1.23</c:v>
                </c:pt>
                <c:pt idx="4">
                  <c:v>1.21</c:v>
                </c:pt>
                <c:pt idx="5">
                  <c:v>1.2</c:v>
                </c:pt>
                <c:pt idx="6">
                  <c:v>1.2</c:v>
                </c:pt>
                <c:pt idx="7">
                  <c:v>1.21</c:v>
                </c:pt>
                <c:pt idx="8">
                  <c:v>1.2</c:v>
                </c:pt>
                <c:pt idx="9">
                  <c:v>1.21</c:v>
                </c:pt>
                <c:pt idx="10">
                  <c:v>1.23</c:v>
                </c:pt>
                <c:pt idx="11">
                  <c:v>1.25</c:v>
                </c:pt>
              </c:numCache>
            </c:numRef>
          </c:val>
          <c:smooth val="0"/>
        </c:ser>
        <c:ser>
          <c:idx val="1"/>
          <c:order val="1"/>
          <c:tx>
            <c:strRef>
              <c:f>Sheet1!$C$1</c:f>
              <c:strCache>
                <c:ptCount val="1"/>
                <c:pt idx="0">
                  <c:v>2022年求人倍率</c:v>
                </c:pt>
              </c:strCache>
            </c:strRef>
          </c:tx>
          <c:dLbls>
            <c:delete val="1"/>
          </c:dLbls>
          <c:cat>
            <c:strRef>
              <c:f>Sheet1!$A$2:$A$13</c:f>
              <c:strCache>
                <c:ptCount val="12"/>
                <c:pt idx="0">
                  <c:v>一月</c:v>
                </c:pt>
                <c:pt idx="1">
                  <c:v>二月</c:v>
                </c:pt>
                <c:pt idx="2">
                  <c:v>三月</c:v>
                </c:pt>
                <c:pt idx="3">
                  <c:v>四月</c:v>
                </c:pt>
                <c:pt idx="4">
                  <c:v>五月</c:v>
                </c:pt>
                <c:pt idx="5">
                  <c:v>六月</c:v>
                </c:pt>
                <c:pt idx="6">
                  <c:v>七月</c:v>
                </c:pt>
                <c:pt idx="7">
                  <c:v>八月</c:v>
                </c:pt>
                <c:pt idx="8">
                  <c:v>九月</c:v>
                </c:pt>
                <c:pt idx="9">
                  <c:v>十月</c:v>
                </c:pt>
                <c:pt idx="10">
                  <c:v>十一月</c:v>
                </c:pt>
                <c:pt idx="11">
                  <c:v>十二月</c:v>
                </c:pt>
              </c:strCache>
            </c:strRef>
          </c:cat>
          <c:val>
            <c:numRef>
              <c:f>Sheet1!$C$2:$C$13</c:f>
              <c:numCache>
                <c:formatCode>General</c:formatCode>
                <c:ptCount val="12"/>
                <c:pt idx="0">
                  <c:v>1.28</c:v>
                </c:pt>
                <c:pt idx="1">
                  <c:v>1.28</c:v>
                </c:pt>
                <c:pt idx="2">
                  <c:v>1.25</c:v>
                </c:pt>
                <c:pt idx="3">
                  <c:v>1.3</c:v>
                </c:pt>
                <c:pt idx="4">
                  <c:v>1.26</c:v>
                </c:pt>
                <c:pt idx="5">
                  <c:v>1.22</c:v>
                </c:pt>
                <c:pt idx="6">
                  <c:v>1.21</c:v>
                </c:pt>
                <c:pt idx="7">
                  <c:v>1.2</c:v>
                </c:pt>
                <c:pt idx="8">
                  <c:v>1.19</c:v>
                </c:pt>
                <c:pt idx="9">
                  <c:v>1.2</c:v>
                </c:pt>
                <c:pt idx="10">
                  <c:v>1.22</c:v>
                </c:pt>
                <c:pt idx="11">
                  <c:v>1.21</c:v>
                </c:pt>
              </c:numCache>
            </c:numRef>
          </c:val>
          <c:smooth val="0"/>
        </c:ser>
        <c:dLbls>
          <c:showLegendKey val="0"/>
          <c:showVal val="0"/>
          <c:showCatName val="0"/>
          <c:showSerName val="0"/>
          <c:showPercent val="0"/>
          <c:showBubbleSize val="0"/>
        </c:dLbls>
        <c:marker val="1"/>
        <c:smooth val="0"/>
        <c:axId val="96389760"/>
        <c:axId val="116023680"/>
      </c:lineChart>
      <c:catAx>
        <c:axId val="96389760"/>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16023680"/>
        <c:crosses val="autoZero"/>
        <c:auto val="1"/>
        <c:lblAlgn val="ctr"/>
        <c:lblOffset val="100"/>
        <c:noMultiLvlLbl val="0"/>
      </c:catAx>
      <c:valAx>
        <c:axId val="11602368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96389760"/>
        <c:crosses val="autoZero"/>
        <c:crossBetween val="between"/>
      </c:valAx>
    </c:plotArea>
    <c:legend>
      <c:legendPos val="r"/>
      <c:layout>
        <c:manualLayout>
          <c:xMode val="edge"/>
          <c:yMode val="edge"/>
          <c:x val="0.803703703703704"/>
          <c:y val="0.509441233140655"/>
          <c:w val="0.192022792022792"/>
          <c:h val="0.466281310211946"/>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9CEC32-E4CD-4573-9E52-CC973A1B830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4120</Words>
  <Characters>5607</Characters>
  <Lines>47</Lines>
  <Paragraphs>13</Paragraphs>
  <TotalTime>1</TotalTime>
  <ScaleCrop>false</ScaleCrop>
  <LinksUpToDate>false</LinksUpToDate>
  <CharactersWithSpaces>5731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2022-09-27T02:29:00Z</dcterms:created>
  <dc:creator>User</dc:creator>
  <cp:lastModifiedBy>Admin</cp:lastModifiedBy>
  <dcterms:modified xsi:type="dcterms:W3CDTF">2023-01-09T02:43:17Z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B933374054D946DFAA283D590D74C416</vt:lpwstr>
  </property>
</Properties>
</file>