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22</w:t>
      </w:r>
      <w:r>
        <w:rPr>
          <w:rFonts w:ascii="宋体" w:hAnsi="宋体"/>
          <w:b/>
          <w:sz w:val="44"/>
          <w:szCs w:val="44"/>
        </w:rPr>
        <w:t>年第</w:t>
      </w:r>
      <w:r>
        <w:rPr>
          <w:rFonts w:hint="eastAsia" w:ascii="宋体" w:hAnsi="宋体"/>
          <w:b/>
          <w:sz w:val="44"/>
          <w:szCs w:val="44"/>
        </w:rPr>
        <w:t>三</w:t>
      </w:r>
      <w:r>
        <w:rPr>
          <w:rFonts w:ascii="宋体" w:hAnsi="宋体"/>
          <w:b/>
          <w:sz w:val="44"/>
          <w:szCs w:val="44"/>
        </w:rPr>
        <w:t>季度</w:t>
      </w:r>
      <w:r>
        <w:rPr>
          <w:rFonts w:hint="eastAsia" w:ascii="宋体" w:hAnsi="宋体"/>
          <w:b/>
          <w:sz w:val="44"/>
          <w:szCs w:val="44"/>
        </w:rPr>
        <w:t>张家港市人力资源</w:t>
      </w:r>
    </w:p>
    <w:p>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jc w:val="left"/>
        <w:rPr>
          <w:rFonts w:ascii="宋体" w:hAnsi="宋体" w:cs="宋体"/>
          <w:b/>
          <w:bCs/>
          <w:kern w:val="0"/>
          <w:sz w:val="24"/>
        </w:rPr>
      </w:pPr>
      <w:r>
        <w:rPr>
          <w:rFonts w:hint="eastAsia" w:ascii="宋体" w:hAnsi="宋体" w:cs="宋体"/>
          <w:b/>
          <w:bCs/>
          <w:kern w:val="0"/>
          <w:sz w:val="24"/>
        </w:rPr>
        <w:t>一、人力资源市场总体数据概况</w:t>
      </w:r>
    </w:p>
    <w:p>
      <w:pPr>
        <w:widowControl/>
        <w:spacing w:before="100" w:beforeAutospacing="1" w:after="100" w:afterAutospacing="1" w:line="360" w:lineRule="auto"/>
        <w:ind w:firstLine="480" w:firstLineChars="200"/>
        <w:jc w:val="left"/>
        <w:rPr>
          <w:rFonts w:ascii="宋体" w:hAnsi="宋体" w:cs="宋体"/>
          <w:b/>
          <w:bCs/>
          <w:kern w:val="0"/>
          <w:sz w:val="24"/>
        </w:rPr>
      </w:pPr>
      <w:r>
        <w:rPr>
          <w:rFonts w:hint="eastAsia" w:ascii="宋体" w:hAnsi="宋体" w:cs="宋体"/>
          <w:kern w:val="0"/>
          <w:sz w:val="24"/>
        </w:rPr>
        <w:t>今年三季度，我市人力资源市场共提供岗位需求40398个次，求职者33622人次，求人倍率为1.20，求人倍率较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1</w:t>
      </w:r>
      <w:r>
        <w:rPr>
          <w:rFonts w:hint="eastAsia" w:ascii="宋体" w:hAnsi="宋体" w:cs="宋体"/>
          <w:kern w:val="0"/>
          <w:sz w:val="24"/>
        </w:rPr>
        <w:t>年同期基本持平。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pPr>
        <w:widowControl/>
        <w:spacing w:before="100" w:beforeAutospacing="1" w:after="100" w:afterAutospacing="1" w:line="360" w:lineRule="auto"/>
        <w:jc w:val="left"/>
        <w:rPr>
          <w:rFonts w:ascii="宋体" w:hAnsi="宋体"/>
          <w:b/>
          <w:sz w:val="24"/>
        </w:rPr>
      </w:pPr>
      <w:r>
        <w:rPr>
          <w:rFonts w:hint="eastAsia" w:ascii="宋体" w:hAnsi="宋体"/>
          <w:b/>
          <w:sz w:val="24"/>
        </w:rPr>
        <w:t>二</w:t>
      </w:r>
      <w:r>
        <w:rPr>
          <w:rFonts w:ascii="宋体" w:hAnsi="宋体"/>
          <w:b/>
          <w:sz w:val="24"/>
        </w:rPr>
        <w:t>、供求总体情况</w:t>
      </w:r>
    </w:p>
    <w:p>
      <w:pPr>
        <w:spacing w:line="360" w:lineRule="auto"/>
        <w:rPr>
          <w:rFonts w:hint="eastAsia" w:ascii="宋体" w:hAnsi="宋体" w:cs="宋体"/>
          <w:b/>
          <w:kern w:val="0"/>
          <w:sz w:val="24"/>
        </w:rPr>
      </w:pPr>
      <w:r>
        <w:rPr>
          <w:rFonts w:hint="eastAsia" w:ascii="宋体" w:hAnsi="宋体" w:cs="宋体"/>
          <w:b/>
          <w:kern w:val="0"/>
          <w:sz w:val="24"/>
        </w:rPr>
        <w:t>（一）供求总体状况</w:t>
      </w:r>
    </w:p>
    <w:p>
      <w:pPr>
        <w:spacing w:line="360" w:lineRule="auto"/>
        <w:ind w:firstLine="480" w:firstLineChars="200"/>
        <w:rPr>
          <w:rFonts w:ascii="宋体" w:hAnsi="宋体" w:cs="宋体"/>
          <w:color w:val="FF0000"/>
          <w:kern w:val="0"/>
          <w:sz w:val="24"/>
        </w:rPr>
      </w:pPr>
      <w:r>
        <w:rPr>
          <w:rFonts w:hint="eastAsia" w:ascii="宋体" w:hAnsi="宋体" w:cs="宋体"/>
          <w:kern w:val="0"/>
          <w:sz w:val="24"/>
        </w:rPr>
        <w:t>本季度需求人数40398人，与去年同期相比减少3056人，降幅为7.03%。求职人数为33622人，与去年同期相比减少2481人，降幅为6.87%，本季度需求人数和求职人数比去年同期都有所下降。</w:t>
      </w: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6"/>
        <w:tblW w:w="6039" w:type="dxa"/>
        <w:jc w:val="center"/>
        <w:tblInd w:w="0" w:type="dxa"/>
        <w:tblLayout w:type="fixed"/>
        <w:tblCellMar>
          <w:top w:w="0" w:type="dxa"/>
          <w:left w:w="0" w:type="dxa"/>
          <w:bottom w:w="0" w:type="dxa"/>
          <w:right w:w="0" w:type="dxa"/>
        </w:tblCellMar>
      </w:tblPr>
      <w:tblGrid>
        <w:gridCol w:w="1347"/>
        <w:gridCol w:w="1607"/>
        <w:gridCol w:w="1585"/>
        <w:gridCol w:w="1500"/>
      </w:tblGrid>
      <w:tr>
        <w:tblPrEx>
          <w:tblLayout w:type="fixed"/>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Layout w:type="fixed"/>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40398</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33622</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1.20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pPr>
        <w:spacing w:line="360" w:lineRule="auto"/>
        <w:ind w:firstLine="480" w:firstLineChars="200"/>
        <w:rPr>
          <w:rFonts w:ascii="宋体" w:hAnsi="宋体" w:cs="宋体"/>
          <w:color w:val="FF0000"/>
          <w:kern w:val="0"/>
          <w:sz w:val="24"/>
        </w:rPr>
      </w:pPr>
      <w:r>
        <w:rPr>
          <w:rFonts w:hint="eastAsia" w:ascii="宋体" w:hAnsi="宋体" w:cs="宋体"/>
          <w:kern w:val="0"/>
          <w:sz w:val="24"/>
        </w:rPr>
        <w:t>从产业分组情况看，第一产业本季度为</w:t>
      </w:r>
      <w:r>
        <w:rPr>
          <w:rFonts w:ascii="宋体" w:hAnsi="宋体" w:cs="宋体"/>
          <w:kern w:val="0"/>
          <w:sz w:val="24"/>
        </w:rPr>
        <w:t>0</w:t>
      </w:r>
      <w:r>
        <w:rPr>
          <w:rFonts w:hint="eastAsia" w:ascii="宋体" w:hAnsi="宋体" w:cs="宋体"/>
          <w:kern w:val="0"/>
          <w:sz w:val="24"/>
        </w:rPr>
        <w:t>；第二产业本季需求数为28199人，占总需求的69.80%，第三产业本季需求数为12199人，占总需求的30.20%。</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6"/>
        <w:tblW w:w="433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28199</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69.80%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12199</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30.20%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40398</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r>
    </w:tbl>
    <w:p>
      <w:pPr>
        <w:adjustRightInd w:val="0"/>
        <w:snapToGrid w:val="0"/>
        <w:spacing w:line="360" w:lineRule="auto"/>
        <w:rPr>
          <w:rFonts w:ascii="宋体" w:hAnsi="宋体"/>
          <w:color w:val="FF0000"/>
          <w:sz w:val="24"/>
        </w:rPr>
      </w:pPr>
      <w:r>
        <w:rPr>
          <w:rFonts w:hint="eastAsia" w:ascii="宋体" w:hAnsi="宋体"/>
          <w:color w:val="FF0000"/>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从行业需求来看，本季度67.42%的用人需求集中在制造业，其次为</w:t>
      </w:r>
      <w:r>
        <w:rPr>
          <w:rFonts w:hint="eastAsia" w:ascii="宋体" w:hAnsi="宋体" w:cs="宋体"/>
          <w:kern w:val="0"/>
          <w:sz w:val="24"/>
        </w:rPr>
        <w:t>信息传输、计算机服务和软件业</w:t>
      </w:r>
      <w:r>
        <w:rPr>
          <w:rFonts w:hint="eastAsia" w:ascii="宋体" w:hAnsi="宋体"/>
          <w:sz w:val="24"/>
        </w:rPr>
        <w:t>，占总需求的9.30%，再次为</w:t>
      </w:r>
      <w:r>
        <w:rPr>
          <w:rFonts w:hint="eastAsia" w:ascii="宋体" w:hAnsi="宋体" w:cs="宋体"/>
          <w:kern w:val="0"/>
          <w:sz w:val="24"/>
        </w:rPr>
        <w:t>居民服务和其他服务业</w:t>
      </w:r>
      <w:r>
        <w:rPr>
          <w:rFonts w:hint="eastAsia" w:ascii="宋体" w:hAnsi="宋体"/>
          <w:sz w:val="24"/>
        </w:rPr>
        <w:t>，占总需求的5.52%。</w:t>
      </w:r>
    </w:p>
    <w:p>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6"/>
        <w:tblW w:w="5964" w:type="dxa"/>
        <w:jc w:val="center"/>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9"/>
        <w:gridCol w:w="1223"/>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9"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223"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9"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27237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67.42%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172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0.43%</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962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2.38%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9"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387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0.96%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9"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3757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9.30%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2207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5.46%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1568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3.88%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137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98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0.24%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114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0.28%</w:t>
            </w:r>
          </w:p>
        </w:tc>
      </w:tr>
      <w:tr>
        <w:tblPrEx>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143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0.35%</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9"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185 </w:t>
            </w:r>
          </w:p>
        </w:tc>
        <w:tc>
          <w:tcPr>
            <w:tcW w:w="1223"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0.46%</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2230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5.52%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298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0.74%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454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1.12%</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9"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138 </w:t>
            </w:r>
          </w:p>
        </w:tc>
        <w:tc>
          <w:tcPr>
            <w:tcW w:w="1223"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311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0.77%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40398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（三）</w:t>
      </w:r>
      <w:r>
        <w:rPr>
          <w:rFonts w:ascii="宋体" w:hAnsi="宋体"/>
          <w:b/>
          <w:sz w:val="24"/>
        </w:rPr>
        <w:t>用人单位需求情况</w:t>
      </w:r>
    </w:p>
    <w:p>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本季度企业需求人数为40398人。企业中需求人数所占比重最多的是内资企业，共37100人，占企业总数的91.84%，内资企业中用工需求主要集中在有限责任公司、私营企业、股份有限公司。</w:t>
      </w:r>
    </w:p>
    <w:p>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6"/>
        <w:tblW w:w="6185" w:type="dxa"/>
        <w:jc w:val="center"/>
        <w:tblCellSpacing w:w="0" w:type="dxa"/>
        <w:tblInd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sz w:val="24"/>
              </w:rPr>
            </w:pPr>
            <w:r>
              <w:rPr>
                <w:rFonts w:hint="eastAsia"/>
                <w:sz w:val="24"/>
              </w:rPr>
              <w:t>本季度</w:t>
            </w:r>
          </w:p>
          <w:p>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 w:val="24"/>
              </w:rPr>
            </w:pPr>
            <w:r>
              <w:rPr>
                <w:rFonts w:hint="eastAsia"/>
                <w:sz w:val="24"/>
              </w:rPr>
              <w:t>本季度需求所占比重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bottom"/>
          </w:tcPr>
          <w:p>
            <w:pPr>
              <w:jc w:val="center"/>
              <w:rPr>
                <w:sz w:val="24"/>
              </w:rPr>
            </w:pPr>
            <w:r>
              <w:rPr>
                <w:rFonts w:hint="eastAsia"/>
                <w:sz w:val="24"/>
              </w:rPr>
              <w:t xml:space="preserve">39766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98.44%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37100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91.84%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748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1.85%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258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0.64%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3305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8.18%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556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1.38%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16453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40.73%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7740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19.16%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4177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10.34%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3863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9.56%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1728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4.28%</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540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1.34%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398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0.99%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171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0.42%</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461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1.14%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40398</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100.00%</w:t>
            </w:r>
          </w:p>
        </w:tc>
      </w:tr>
    </w:tbl>
    <w:p>
      <w:pPr>
        <w:adjustRightInd w:val="0"/>
        <w:snapToGrid w:val="0"/>
        <w:spacing w:line="360" w:lineRule="auto"/>
        <w:ind w:firstLine="480" w:firstLineChars="200"/>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（四）按</w:t>
      </w:r>
      <w:r>
        <w:rPr>
          <w:rFonts w:ascii="宋体" w:hAnsi="宋体"/>
          <w:b/>
          <w:sz w:val="24"/>
        </w:rPr>
        <w:t>职业供求情况分析</w:t>
      </w:r>
    </w:p>
    <w:p>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pPr>
        <w:adjustRightInd w:val="0"/>
        <w:snapToGrid w:val="0"/>
        <w:spacing w:line="360" w:lineRule="auto"/>
        <w:jc w:val="center"/>
        <w:rPr>
          <w:rFonts w:ascii="宋体" w:hAnsi="宋体"/>
          <w:sz w:val="24"/>
        </w:rPr>
      </w:pPr>
      <w:r>
        <w:rPr>
          <w:rFonts w:hint="eastAsia" w:ascii="宋体" w:hAnsi="宋体"/>
          <w:sz w:val="24"/>
        </w:rPr>
        <w:t xml:space="preserve">表5. </w:t>
      </w:r>
      <w:r>
        <w:rPr>
          <w:rFonts w:ascii="宋体" w:hAnsi="宋体"/>
          <w:sz w:val="24"/>
        </w:rPr>
        <w:t>按职业分组的供求人数</w:t>
      </w:r>
    </w:p>
    <w:tbl>
      <w:tblPr>
        <w:tblStyle w:val="6"/>
        <w:tblW w:w="6933" w:type="dxa"/>
        <w:jc w:val="center"/>
        <w:tblInd w:w="0" w:type="dxa"/>
        <w:tblLayout w:type="fixed"/>
        <w:tblCellMar>
          <w:top w:w="0" w:type="dxa"/>
          <w:left w:w="0" w:type="dxa"/>
          <w:bottom w:w="0" w:type="dxa"/>
          <w:right w:w="0" w:type="dxa"/>
        </w:tblCellMar>
      </w:tblPr>
      <w:tblGrid>
        <w:gridCol w:w="1947"/>
        <w:gridCol w:w="936"/>
        <w:gridCol w:w="1076"/>
        <w:gridCol w:w="936"/>
        <w:gridCol w:w="1077"/>
        <w:gridCol w:w="961"/>
      </w:tblGrid>
      <w:tr>
        <w:tblPrEx>
          <w:tblLayout w:type="fixed"/>
          <w:tblCellMar>
            <w:top w:w="0" w:type="dxa"/>
            <w:left w:w="0" w:type="dxa"/>
            <w:bottom w:w="0" w:type="dxa"/>
            <w:right w:w="0" w:type="dxa"/>
          </w:tblCellMar>
        </w:tblPrEx>
        <w:trPr>
          <w:cantSplit/>
          <w:trHeight w:val="397" w:hRule="atLeast"/>
          <w:jc w:val="center"/>
        </w:trPr>
        <w:tc>
          <w:tcPr>
            <w:tcW w:w="1947"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986"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tblPrEx>
          <w:tblLayout w:type="fixed"/>
          <w:tblCellMar>
            <w:top w:w="0" w:type="dxa"/>
            <w:left w:w="0" w:type="dxa"/>
            <w:bottom w:w="0" w:type="dxa"/>
            <w:right w:w="0" w:type="dxa"/>
          </w:tblCellMar>
        </w:tblPrEx>
        <w:trPr>
          <w:cantSplit/>
          <w:trHeight w:val="397" w:hRule="atLeast"/>
          <w:jc w:val="center"/>
        </w:trPr>
        <w:tc>
          <w:tcPr>
            <w:tcW w:w="194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107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961"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求人倍率</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151</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0.37%</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134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0.40%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1.13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3815</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9.44%</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3175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9.44%</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1.20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2337</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5.78%</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1917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5.70%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1.22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5747</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14.23%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4456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13.25%</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1.29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26029</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64.43%</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22064</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65.62%</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1.18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2319</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5.74%</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1876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5.58%</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1.24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40398</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33622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sz w:val="24"/>
              </w:rPr>
            </w:pPr>
            <w:r>
              <w:rPr>
                <w:rFonts w:hint="eastAsia"/>
                <w:sz w:val="24"/>
              </w:rPr>
              <w:t xml:space="preserve">1.20 </w:t>
            </w:r>
          </w:p>
        </w:tc>
      </w:tr>
    </w:tbl>
    <w:p>
      <w:pPr>
        <w:adjustRightInd w:val="0"/>
        <w:snapToGrid w:val="0"/>
        <w:spacing w:line="360" w:lineRule="auto"/>
        <w:jc w:val="center"/>
        <w:rPr>
          <w:rFonts w:ascii="宋体" w:hAnsi="宋体"/>
          <w:color w:val="FF0000"/>
          <w:sz w:val="24"/>
        </w:rPr>
      </w:pPr>
    </w:p>
    <w:tbl>
      <w:tblPr>
        <w:tblStyle w:val="6"/>
        <w:tblW w:w="9673" w:type="dxa"/>
        <w:tblInd w:w="93" w:type="dxa"/>
        <w:tblLayout w:type="fixed"/>
        <w:tblCellMar>
          <w:top w:w="0" w:type="dxa"/>
          <w:left w:w="108" w:type="dxa"/>
          <w:bottom w:w="0" w:type="dxa"/>
          <w:right w:w="108" w:type="dxa"/>
        </w:tblCellMar>
      </w:tblPr>
      <w:tblGrid>
        <w:gridCol w:w="9673"/>
      </w:tblGrid>
      <w:tr>
        <w:tblPrEx>
          <w:tblLayout w:type="fixed"/>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 w:val="24"/>
              </w:rPr>
            </w:pPr>
            <w:r>
              <w:rPr>
                <w:rFonts w:hint="eastAsia" w:ascii="宋体" w:hAnsi="宋体"/>
                <w:sz w:val="24"/>
              </w:rPr>
              <w:t>表6. 需求大于求职缺口最大的前十个职业</w:t>
            </w:r>
          </w:p>
          <w:p>
            <w:pPr>
              <w:widowControl/>
              <w:spacing w:line="360" w:lineRule="auto"/>
              <w:ind w:right="252" w:rightChars="120"/>
              <w:jc w:val="center"/>
              <w:rPr>
                <w:rFonts w:ascii="宋体" w:hAnsi="宋体"/>
                <w:color w:val="FF0000"/>
                <w:sz w:val="24"/>
              </w:rPr>
            </w:pPr>
          </w:p>
          <w:tbl>
            <w:tblPr>
              <w:tblStyle w:val="6"/>
              <w:tblW w:w="8888" w:type="dxa"/>
              <w:tblInd w:w="0" w:type="dxa"/>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tblLayout w:type="fixed"/>
                <w:tblCellMar>
                  <w:top w:w="0" w:type="dxa"/>
                  <w:left w:w="108" w:type="dxa"/>
                  <w:bottom w:w="0" w:type="dxa"/>
                  <w:right w:w="108" w:type="dxa"/>
                </w:tblCellMar>
              </w:tblPrEx>
              <w:trPr>
                <w:trHeight w:val="447" w:hRule="atLeast"/>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纺纱人员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756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541</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215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1.40 </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648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493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155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1.31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电工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6-31-01-03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470</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334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136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1.41 </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物流服务师</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4-02-06-03</w:t>
                  </w:r>
                </w:p>
              </w:tc>
              <w:tc>
                <w:tcPr>
                  <w:tcW w:w="1519" w:type="dxa"/>
                  <w:tcBorders>
                    <w:top w:val="nil"/>
                    <w:left w:val="nil"/>
                    <w:bottom w:val="nil"/>
                    <w:right w:val="single" w:color="auto" w:sz="4" w:space="0"/>
                  </w:tcBorders>
                  <w:shd w:val="clear" w:color="auto" w:fill="DAEEF3" w:themeFill="accent5" w:themeFillTint="33"/>
                  <w:noWrap/>
                  <w:vAlign w:val="center"/>
                </w:tcPr>
                <w:p>
                  <w:pPr>
                    <w:jc w:val="center"/>
                    <w:rPr>
                      <w:sz w:val="24"/>
                    </w:rPr>
                  </w:pPr>
                  <w:r>
                    <w:rPr>
                      <w:rFonts w:hint="eastAsia"/>
                      <w:sz w:val="24"/>
                    </w:rPr>
                    <w:t>589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456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133</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1.29 </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营销员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4-01-02-01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375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268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107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1.40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焊工</w:t>
                  </w:r>
                </w:p>
              </w:tc>
              <w:tc>
                <w:tcPr>
                  <w:tcW w:w="1494" w:type="dxa"/>
                  <w:tcBorders>
                    <w:top w:val="nil"/>
                    <w:left w:val="nil"/>
                    <w:bottom w:val="nil"/>
                    <w:right w:val="nil"/>
                  </w:tcBorders>
                  <w:shd w:val="clear" w:color="auto" w:fill="DAEEF3" w:themeFill="accent5" w:themeFillTint="33"/>
                  <w:noWrap/>
                  <w:vAlign w:val="center"/>
                </w:tcPr>
                <w:p>
                  <w:pPr>
                    <w:jc w:val="center"/>
                    <w:rPr>
                      <w:sz w:val="24"/>
                    </w:rPr>
                  </w:pPr>
                  <w:r>
                    <w:rPr>
                      <w:rFonts w:hint="eastAsia"/>
                      <w:sz w:val="24"/>
                    </w:rPr>
                    <w:t>6-18-02-04</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pPr>
                    <w:jc w:val="center"/>
                    <w:rPr>
                      <w:sz w:val="24"/>
                    </w:rPr>
                  </w:pPr>
                  <w:r>
                    <w:rPr>
                      <w:rFonts w:hint="eastAsia"/>
                      <w:sz w:val="24"/>
                    </w:rPr>
                    <w:t>394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91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1.30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起重装卸机械操作工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6-30-05-01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339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257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82</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1.32 </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包装工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6-31-05-00</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345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279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1.24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6-18-01-01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245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189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56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1.30 </w:t>
                  </w:r>
                </w:p>
              </w:tc>
            </w:tr>
            <w:tr>
              <w:tblPrEx>
                <w:tblLayout w:type="fixed"/>
                <w:tblCellMar>
                  <w:top w:w="0" w:type="dxa"/>
                  <w:left w:w="108" w:type="dxa"/>
                  <w:bottom w:w="0" w:type="dxa"/>
                  <w:right w:w="108" w:type="dxa"/>
                </w:tblCellMar>
              </w:tblPrEx>
              <w:trPr>
                <w:trHeight w:val="45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计算机网络工程技术人员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2-02-10-04</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125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94</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31</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1.33 </w:t>
                  </w:r>
                </w:p>
              </w:tc>
            </w:tr>
          </w:tbl>
          <w:p>
            <w:pPr>
              <w:widowControl/>
              <w:spacing w:line="360" w:lineRule="auto"/>
              <w:ind w:right="252" w:rightChars="120"/>
              <w:jc w:val="center"/>
              <w:rPr>
                <w:rFonts w:ascii="宋体" w:hAnsi="宋体" w:cs="宋体"/>
                <w:b/>
                <w:bCs/>
                <w:color w:val="FF0000"/>
                <w:kern w:val="0"/>
                <w:sz w:val="24"/>
              </w:rPr>
            </w:pPr>
          </w:p>
        </w:tc>
      </w:tr>
    </w:tbl>
    <w:p>
      <w:pPr>
        <w:widowControl/>
        <w:spacing w:before="100" w:beforeAutospacing="1" w:after="100" w:afterAutospacing="1" w:line="360" w:lineRule="auto"/>
        <w:ind w:firstLine="480" w:firstLineChars="200"/>
        <w:jc w:val="left"/>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7</w:t>
      </w:r>
      <w:r>
        <w:rPr>
          <w:rFonts w:hint="eastAsia" w:ascii="宋体" w:hAnsi="宋体"/>
          <w:sz w:val="24"/>
        </w:rPr>
        <w:t>. 需求小于求职缺口最大的十个职业</w:t>
      </w:r>
    </w:p>
    <w:tbl>
      <w:tblPr>
        <w:tblStyle w:val="6"/>
        <w:tblW w:w="9555" w:type="dxa"/>
        <w:jc w:val="center"/>
        <w:tblInd w:w="93" w:type="dxa"/>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tblPrEx>
          <w:shd w:val="clear" w:color="auto" w:fill="DAEEF3" w:themeFill="accent5" w:themeFillTint="33"/>
          <w:tblLayout w:type="fixed"/>
          <w:tblCellMar>
            <w:top w:w="0" w:type="dxa"/>
            <w:left w:w="108" w:type="dxa"/>
            <w:bottom w:w="0" w:type="dxa"/>
            <w:right w:w="108" w:type="dxa"/>
          </w:tblCellMar>
        </w:tblPrEx>
        <w:trPr>
          <w:trHeight w:val="402" w:hRule="atLeast"/>
          <w:jc w:val="center"/>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Layout w:type="fixed"/>
          <w:tblCellMar>
            <w:top w:w="0" w:type="dxa"/>
            <w:left w:w="108" w:type="dxa"/>
            <w:bottom w:w="0" w:type="dxa"/>
            <w:right w:w="108" w:type="dxa"/>
          </w:tblCellMar>
        </w:tblPrEx>
        <w:trPr>
          <w:trHeight w:val="390" w:hRule="atLeast"/>
          <w:jc w:val="center"/>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tblLayout w:type="fixed"/>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123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181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-58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0.78 </w:t>
            </w:r>
          </w:p>
        </w:tc>
      </w:tr>
      <w:tr>
        <w:tblPrEx>
          <w:tblLayout w:type="fixed"/>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保险代理人</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4-05-04-01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150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-50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0.79 </w:t>
            </w:r>
          </w:p>
        </w:tc>
      </w:tr>
      <w:tr>
        <w:tblPrEx>
          <w:shd w:val="clear" w:color="auto" w:fill="DAEEF3" w:themeFill="accent5" w:themeFillTint="33"/>
          <w:tblLayout w:type="fixed"/>
          <w:tblCellMar>
            <w:top w:w="0" w:type="dxa"/>
            <w:left w:w="108" w:type="dxa"/>
            <w:bottom w:w="0" w:type="dxa"/>
            <w:right w:w="108" w:type="dxa"/>
          </w:tblCellMar>
        </w:tblPrEx>
        <w:trPr>
          <w:trHeight w:val="390"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164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211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-47</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0.74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人力资源管理专业人员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2-06-08-01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105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141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0.66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后勤管理员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3-01-02-08</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59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0.54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收银员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4-01-02-04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-28</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0.45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银行客户业务员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4-05-01-03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153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178</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0.38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计算机网络工程技术人员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2-02-10-04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-19</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0.43 </w:t>
            </w:r>
          </w:p>
        </w:tc>
      </w:tr>
      <w:tr>
        <w:tblPrEx>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道路客运汽车驾驶员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4-02-02-01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45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61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-16</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0.39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jc w:val="center"/>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30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-15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jc w:val="center"/>
              <w:rPr>
                <w:sz w:val="24"/>
              </w:rPr>
            </w:pPr>
            <w:r>
              <w:rPr>
                <w:rFonts w:hint="eastAsia"/>
                <w:sz w:val="24"/>
              </w:rPr>
              <w:t xml:space="preserve">0.43 </w:t>
            </w:r>
          </w:p>
        </w:tc>
      </w:tr>
    </w:tbl>
    <w:p>
      <w:pPr>
        <w:adjustRightInd w:val="0"/>
        <w:snapToGrid w:val="0"/>
        <w:spacing w:line="360" w:lineRule="auto"/>
        <w:jc w:val="center"/>
        <w:rPr>
          <w:rFonts w:ascii="宋体" w:hAnsi="宋体"/>
          <w:sz w:val="24"/>
        </w:rPr>
      </w:pPr>
    </w:p>
    <w:p>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本季度需求缺口排名前三位的是：纺纱工、缝纫工、电工，与去年同期及上期情况基本一致，说明这些工种需求量较大，亦与我市产业结构的分布吻合，裁剪缝纫工、纺纱人员、一线操作工等工种依旧占我市人力资源市场需求的主体位置。</w:t>
      </w:r>
    </w:p>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（五）</w:t>
      </w:r>
      <w:r>
        <w:rPr>
          <w:rFonts w:ascii="宋体" w:hAnsi="宋体"/>
          <w:b/>
          <w:sz w:val="24"/>
        </w:rPr>
        <w:t>求职人员分类</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根据求职人员类别分析，本季度中列前三位的求职者分别是外埠人员30.18%，本市农村人员21.86%，失业人员19.46%。这一情况与去年同期变化不大。说明求职者中，外来劳动力和本市农村人员一直占求职者的主体。</w:t>
      </w:r>
    </w:p>
    <w:p>
      <w:pPr>
        <w:adjustRightInd w:val="0"/>
        <w:snapToGrid w:val="0"/>
        <w:spacing w:line="360" w:lineRule="auto"/>
        <w:ind w:firstLine="480" w:firstLineChars="200"/>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r>
        <w:rPr>
          <w:rFonts w:ascii="宋体" w:hAnsi="宋体"/>
          <w:sz w:val="24"/>
        </w:rPr>
        <w:t>按求职人员类别分组的求职人数</w:t>
      </w:r>
    </w:p>
    <w:tbl>
      <w:tblPr>
        <w:tblStyle w:val="6"/>
        <w:tblW w:w="5783" w:type="dxa"/>
        <w:jc w:val="center"/>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6315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18.78%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5916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17.60%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6543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19.46%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3268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9.72%</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7350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21.86%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10146</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30.18%</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33622</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（六）</w:t>
      </w:r>
      <w:r>
        <w:rPr>
          <w:rFonts w:ascii="宋体" w:hAnsi="宋体"/>
          <w:b/>
          <w:sz w:val="24"/>
        </w:rPr>
        <w:t>招聘、应聘条件分析</w:t>
      </w:r>
    </w:p>
    <w:p>
      <w:pPr>
        <w:adjustRightInd w:val="0"/>
        <w:snapToGrid w:val="0"/>
        <w:spacing w:line="360" w:lineRule="auto"/>
        <w:ind w:firstLine="480" w:firstLineChars="200"/>
        <w:rPr>
          <w:rFonts w:ascii="宋体" w:hAnsi="宋体"/>
          <w:sz w:val="24"/>
        </w:rPr>
      </w:pPr>
      <w:r>
        <w:rPr>
          <w:rFonts w:hint="eastAsia" w:ascii="宋体" w:hAnsi="宋体"/>
          <w:sz w:val="24"/>
        </w:rPr>
        <w:t>1.</w:t>
      </w:r>
      <w:r>
        <w:rPr>
          <w:rFonts w:ascii="宋体" w:hAnsi="宋体"/>
          <w:sz w:val="24"/>
        </w:rPr>
        <w:t>年龄</w:t>
      </w:r>
    </w:p>
    <w:p>
      <w:pPr>
        <w:spacing w:line="360" w:lineRule="auto"/>
        <w:ind w:firstLine="480" w:firstLineChars="200"/>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ascii="宋体" w:hAnsi="宋体" w:cs="宋体"/>
          <w:kern w:val="0"/>
          <w:sz w:val="24"/>
        </w:rPr>
        <w:t>本季度需求人数最多的是</w:t>
      </w:r>
      <w:r>
        <w:rPr>
          <w:rFonts w:hint="eastAsia" w:ascii="宋体" w:hAnsi="宋体" w:cs="宋体"/>
          <w:kern w:val="0"/>
          <w:sz w:val="24"/>
        </w:rPr>
        <w:t>35-44</w:t>
      </w:r>
      <w:r>
        <w:rPr>
          <w:rFonts w:ascii="宋体" w:hAnsi="宋体" w:cs="宋体"/>
          <w:kern w:val="0"/>
          <w:sz w:val="24"/>
        </w:rPr>
        <w:t>岁这一年龄段，需求比重</w:t>
      </w:r>
      <w:r>
        <w:rPr>
          <w:rFonts w:hint="eastAsia" w:ascii="宋体" w:hAnsi="宋体" w:cs="宋体"/>
          <w:kern w:val="0"/>
          <w:sz w:val="24"/>
        </w:rPr>
        <w:t>为30.60</w:t>
      </w:r>
      <w:r>
        <w:rPr>
          <w:rFonts w:ascii="宋体" w:hAnsi="宋体" w:cs="宋体"/>
          <w:kern w:val="0"/>
          <w:sz w:val="24"/>
        </w:rPr>
        <w:t>%，需求量最少的仍然是45岁以上，需求比重仅为</w:t>
      </w:r>
      <w:r>
        <w:rPr>
          <w:rFonts w:hint="eastAsia" w:ascii="宋体" w:hAnsi="宋体" w:cs="宋体"/>
          <w:kern w:val="0"/>
          <w:sz w:val="24"/>
        </w:rPr>
        <w:t>1.36</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rPr>
        <w:t>35</w:t>
      </w:r>
      <w:r>
        <w:rPr>
          <w:rFonts w:ascii="宋体" w:hAnsi="宋体" w:cs="宋体"/>
          <w:kern w:val="0"/>
          <w:sz w:val="24"/>
        </w:rPr>
        <w:t>-</w:t>
      </w:r>
      <w:r>
        <w:rPr>
          <w:rFonts w:hint="eastAsia" w:ascii="宋体" w:hAnsi="宋体" w:cs="宋体"/>
          <w:kern w:val="0"/>
          <w:sz w:val="24"/>
        </w:rPr>
        <w:t>4</w:t>
      </w:r>
      <w:r>
        <w:rPr>
          <w:rFonts w:ascii="宋体" w:hAnsi="宋体" w:cs="宋体"/>
          <w:kern w:val="0"/>
          <w:sz w:val="24"/>
        </w:rPr>
        <w:t>4岁和25-34岁的求职人群是求职主体，求职比重分别为</w:t>
      </w:r>
      <w:r>
        <w:rPr>
          <w:rFonts w:hint="eastAsia" w:ascii="宋体" w:hAnsi="宋体" w:cs="宋体"/>
          <w:kern w:val="0"/>
          <w:sz w:val="24"/>
        </w:rPr>
        <w:t>30.60</w:t>
      </w:r>
      <w:r>
        <w:rPr>
          <w:rFonts w:ascii="宋体" w:hAnsi="宋体" w:cs="宋体"/>
          <w:kern w:val="0"/>
          <w:sz w:val="24"/>
        </w:rPr>
        <w:t>%和</w:t>
      </w:r>
      <w:r>
        <w:rPr>
          <w:rFonts w:hint="eastAsia" w:ascii="宋体" w:hAnsi="宋体" w:cs="宋体"/>
          <w:kern w:val="0"/>
          <w:sz w:val="24"/>
        </w:rPr>
        <w:t>30.02</w:t>
      </w:r>
      <w:r>
        <w:rPr>
          <w:rFonts w:ascii="宋体" w:hAnsi="宋体" w:cs="宋体"/>
          <w:kern w:val="0"/>
          <w:sz w:val="24"/>
        </w:rPr>
        <w:t>%。</w:t>
      </w:r>
    </w:p>
    <w:p>
      <w:pPr>
        <w:spacing w:line="360" w:lineRule="auto"/>
        <w:jc w:val="center"/>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 按年龄分组的供求人数</w:t>
      </w:r>
    </w:p>
    <w:tbl>
      <w:tblPr>
        <w:tblStyle w:val="6"/>
        <w:tblW w:w="6996" w:type="dxa"/>
        <w:jc w:val="center"/>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11620</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28.76%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10561</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31.41%</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1.10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12126</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30.02%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11205</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33.33%</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1.08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12362</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30.60%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11338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33.72%</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1.09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549</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1.36%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518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1.54%</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1.06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3741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9.26%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40398</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33622</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1.20</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0" w:firstLineChars="200"/>
        <w:rPr>
          <w:rFonts w:ascii="宋体" w:hAnsi="宋体"/>
          <w:sz w:val="24"/>
        </w:rPr>
      </w:pPr>
      <w:r>
        <w:rPr>
          <w:rFonts w:hint="eastAsia" w:ascii="宋体" w:hAnsi="宋体"/>
          <w:sz w:val="24"/>
        </w:rPr>
        <w:t>2.</w:t>
      </w:r>
      <w:r>
        <w:rPr>
          <w:rFonts w:ascii="宋体" w:hAnsi="宋体"/>
          <w:sz w:val="24"/>
        </w:rPr>
        <w:t>文化程度</w:t>
      </w:r>
    </w:p>
    <w:p>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在需求人群中，本季度大专和高中</w:t>
      </w:r>
      <w:r>
        <w:rPr>
          <w:rFonts w:hint="eastAsia" w:ascii="宋体" w:hAnsi="宋体" w:cs="宋体"/>
          <w:kern w:val="0"/>
          <w:sz w:val="24"/>
          <w:lang w:val="en-US" w:eastAsia="zh-CN"/>
        </w:rPr>
        <w:t>仍</w:t>
      </w:r>
      <w:r>
        <w:rPr>
          <w:rFonts w:hint="eastAsia" w:ascii="宋体" w:hAnsi="宋体" w:cs="宋体"/>
          <w:kern w:val="0"/>
          <w:sz w:val="24"/>
        </w:rPr>
        <w:t xml:space="preserve">然是需求比重最大的，在求职人群中，也是高中及大专占了总求职的绝大多数。总体上讲，文化水平虽然在逐渐提高，但还是以高中和大专为主，高学历人才相对较少，本科比例为16.20%，硕士以上人员比例仅占0.34%。 </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.按文化程度分组的供求人数</w:t>
      </w:r>
    </w:p>
    <w:tbl>
      <w:tblPr>
        <w:tblStyle w:val="6"/>
        <w:tblW w:w="837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1307"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1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4925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12.19%</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4168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12.40%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1"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11569</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28.64%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9668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28.75%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5148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12.74%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4248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12.63%</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2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17225</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42.64%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14217</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42.28%</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4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6543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16.20%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5447</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16.20%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49"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136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0.34%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122</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0.36%</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1.11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3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40398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33622</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1.20 </w:t>
            </w:r>
          </w:p>
        </w:tc>
      </w:tr>
    </w:tbl>
    <w:p>
      <w:pPr>
        <w:adjustRightInd w:val="0"/>
        <w:snapToGrid w:val="0"/>
        <w:spacing w:line="360" w:lineRule="auto"/>
        <w:rPr>
          <w:rFonts w:ascii="宋体" w:hAnsi="宋体"/>
          <w:color w:val="FF0000"/>
          <w:sz w:val="24"/>
        </w:rPr>
      </w:pPr>
    </w:p>
    <w:p>
      <w:pPr>
        <w:adjustRightInd w:val="0"/>
        <w:snapToGrid w:val="0"/>
        <w:spacing w:line="360" w:lineRule="auto"/>
        <w:ind w:firstLine="480" w:firstLineChars="200"/>
        <w:rPr>
          <w:rFonts w:ascii="宋体" w:hAnsi="宋体"/>
          <w:sz w:val="24"/>
        </w:rPr>
      </w:pPr>
      <w:r>
        <w:rPr>
          <w:rFonts w:hint="eastAsia" w:ascii="宋体" w:hAnsi="宋体"/>
          <w:sz w:val="24"/>
        </w:rPr>
        <w:t>3.</w:t>
      </w:r>
      <w:r>
        <w:rPr>
          <w:rFonts w:ascii="宋体" w:hAnsi="宋体"/>
          <w:sz w:val="24"/>
        </w:rPr>
        <w:t>技术等级或职称</w:t>
      </w:r>
    </w:p>
    <w:p>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48.94</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51.80</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ascii="宋体" w:hAnsi="宋体"/>
          <w:sz w:val="24"/>
        </w:rPr>
        <w:t>按技术等级分组的供求人数</w:t>
      </w:r>
    </w:p>
    <w:tbl>
      <w:tblPr>
        <w:tblStyle w:val="6"/>
        <w:tblW w:w="7461" w:type="dxa"/>
        <w:jc w:val="center"/>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15144</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37.49%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12248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36.43%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2757</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6.82%</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2113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6.28%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1.30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1013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2.51%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678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2.02%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1.49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338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176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0.52%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1.92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139</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0.34%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53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0.16%</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2.62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815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2.02%</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686</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2.04%</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1.19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365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0.90%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224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0.67%</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1.63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56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29</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0.09%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1.93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17415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51.80%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1.14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19771</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48.94%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40398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33622</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sz w:val="24"/>
              </w:rPr>
            </w:pPr>
            <w:r>
              <w:rPr>
                <w:rFonts w:hint="eastAsia"/>
                <w:sz w:val="24"/>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 xml:space="preserve">1.20 </w:t>
            </w:r>
          </w:p>
        </w:tc>
      </w:tr>
    </w:tbl>
    <w:p>
      <w:pPr>
        <w:adjustRightInd w:val="0"/>
        <w:snapToGrid w:val="0"/>
        <w:spacing w:line="360" w:lineRule="auto"/>
        <w:jc w:val="left"/>
        <w:rPr>
          <w:rFonts w:ascii="宋体" w:hAnsi="宋体"/>
          <w:sz w:val="24"/>
          <w:highlight w:val="yellow"/>
        </w:rPr>
      </w:pPr>
    </w:p>
    <w:p>
      <w:pPr>
        <w:adjustRightInd w:val="0"/>
        <w:snapToGrid w:val="0"/>
        <w:spacing w:line="360" w:lineRule="auto"/>
        <w:jc w:val="left"/>
        <w:rPr>
          <w:rFonts w:ascii="宋体" w:hAnsi="宋体"/>
          <w:b/>
          <w:sz w:val="24"/>
        </w:rPr>
      </w:pPr>
      <w:r>
        <w:rPr>
          <w:rFonts w:hint="eastAsia" w:ascii="宋体" w:hAnsi="宋体"/>
          <w:sz w:val="24"/>
        </w:rPr>
        <w:t>三、三</w:t>
      </w:r>
      <w:r>
        <w:rPr>
          <w:rFonts w:hint="eastAsia" w:ascii="宋体" w:hAnsi="宋体"/>
          <w:b/>
          <w:sz w:val="24"/>
        </w:rPr>
        <w:t>季度人力资源市场运行状况和特点及应对措施</w:t>
      </w:r>
    </w:p>
    <w:p>
      <w:pPr>
        <w:adjustRightInd w:val="0"/>
        <w:snapToGrid w:val="0"/>
        <w:spacing w:line="360" w:lineRule="auto"/>
        <w:jc w:val="left"/>
        <w:rPr>
          <w:rFonts w:ascii="宋体" w:hAnsi="宋体"/>
          <w:b/>
          <w:sz w:val="24"/>
        </w:rPr>
      </w:pPr>
      <w:r>
        <w:rPr>
          <w:rFonts w:hint="eastAsia" w:ascii="宋体" w:hAnsi="宋体"/>
          <w:b/>
          <w:sz w:val="24"/>
        </w:rPr>
        <w:t>（一）三季度人力资源市场运行状况和特点</w:t>
      </w:r>
    </w:p>
    <w:p>
      <w:pPr>
        <w:adjustRightInd w:val="0"/>
        <w:snapToGrid w:val="0"/>
        <w:spacing w:line="360" w:lineRule="auto"/>
        <w:ind w:firstLine="420"/>
        <w:jc w:val="left"/>
        <w:rPr>
          <w:rFonts w:ascii="宋体" w:hAnsi="宋体"/>
          <w:sz w:val="24"/>
        </w:rPr>
      </w:pPr>
      <w:r>
        <w:rPr>
          <w:rFonts w:hint="eastAsia" w:ascii="宋体" w:hAnsi="宋体"/>
          <w:sz w:val="24"/>
        </w:rPr>
        <w:t>本季度需求数为40398人，求职数为33622人，求人倍率为1.20，求人倍率比二季度略有下降。三季度疫情影响逐渐缓解，但企业一线操作工缺口还比较大。</w:t>
      </w:r>
    </w:p>
    <w:p>
      <w:pPr>
        <w:adjustRightInd w:val="0"/>
        <w:snapToGrid w:val="0"/>
        <w:spacing w:line="360" w:lineRule="auto"/>
        <w:ind w:firstLine="420"/>
        <w:jc w:val="left"/>
        <w:rPr>
          <w:rFonts w:ascii="宋体" w:hAnsi="宋体"/>
          <w:sz w:val="24"/>
        </w:rPr>
      </w:pPr>
      <w:r>
        <w:rPr>
          <w:rFonts w:ascii="宋体" w:hAnsi="宋体"/>
          <w:sz w:val="24"/>
        </w:rPr>
        <w:drawing>
          <wp:inline distT="0" distB="0" distL="0" distR="0">
            <wp:extent cx="4457700" cy="1647825"/>
            <wp:effectExtent l="4445" t="5080" r="14605"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adjustRightInd w:val="0"/>
        <w:snapToGrid w:val="0"/>
        <w:spacing w:line="360" w:lineRule="auto"/>
        <w:jc w:val="left"/>
        <w:rPr>
          <w:rFonts w:hint="eastAsia" w:ascii="宋体" w:hAnsi="宋体" w:eastAsia="宋体"/>
          <w:b/>
          <w:sz w:val="24"/>
          <w:lang w:val="en-US" w:eastAsia="zh-CN"/>
        </w:rPr>
      </w:pPr>
      <w:r>
        <w:rPr>
          <w:rFonts w:hint="eastAsia" w:ascii="宋体" w:hAnsi="宋体"/>
          <w:b/>
          <w:sz w:val="24"/>
        </w:rPr>
        <w:t>（二）招工难的原因分析</w:t>
      </w:r>
    </w:p>
    <w:p>
      <w:pPr>
        <w:spacing w:line="360" w:lineRule="auto"/>
        <w:ind w:firstLine="482" w:firstLineChars="200"/>
        <w:rPr>
          <w:rFonts w:ascii="宋体" w:hAnsi="宋体"/>
          <w:sz w:val="24"/>
        </w:rPr>
      </w:pPr>
      <w:r>
        <w:rPr>
          <w:rFonts w:hint="eastAsia" w:ascii="宋体" w:hAnsi="宋体"/>
          <w:b/>
          <w:sz w:val="24"/>
          <w:lang w:val="en-US" w:eastAsia="zh-CN"/>
        </w:rPr>
        <w:t>1</w:t>
      </w:r>
      <w:r>
        <w:rPr>
          <w:rFonts w:hint="eastAsia" w:ascii="宋体" w:hAnsi="宋体"/>
          <w:b/>
          <w:sz w:val="24"/>
        </w:rPr>
        <w:t>、</w:t>
      </w:r>
      <w:r>
        <w:rPr>
          <w:rFonts w:hint="eastAsia" w:ascii="宋体" w:hAnsi="宋体"/>
          <w:b/>
          <w:sz w:val="24"/>
          <w:lang w:val="en-US" w:eastAsia="zh-CN"/>
        </w:rPr>
        <w:t>缺少年轻人员储备</w:t>
      </w:r>
      <w:r>
        <w:rPr>
          <w:rFonts w:hint="eastAsia" w:ascii="宋体" w:hAnsi="宋体"/>
          <w:sz w:val="24"/>
        </w:rPr>
        <w:t>：外来人口减少、企业原有职工逐渐老龄化，一线岗位劳动强度大，而年轻人又不愿意吃苦，</w:t>
      </w:r>
      <w:r>
        <w:rPr>
          <w:rFonts w:hint="eastAsia" w:ascii="宋体" w:hAnsi="宋体"/>
          <w:sz w:val="24"/>
          <w:lang w:val="en-US" w:eastAsia="zh-CN"/>
        </w:rPr>
        <w:t>不愿从基层做起；</w:t>
      </w:r>
    </w:p>
    <w:p>
      <w:pPr>
        <w:spacing w:line="360" w:lineRule="auto"/>
        <w:ind w:firstLine="482" w:firstLineChars="200"/>
        <w:rPr>
          <w:rFonts w:hint="eastAsia" w:ascii="宋体" w:hAnsi="宋体" w:eastAsia="宋体"/>
          <w:sz w:val="24"/>
          <w:lang w:eastAsia="zh-CN"/>
        </w:rPr>
      </w:pP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专业</w:t>
      </w:r>
      <w:r>
        <w:rPr>
          <w:rFonts w:hint="eastAsia" w:ascii="宋体" w:hAnsi="宋体"/>
          <w:b/>
          <w:sz w:val="24"/>
        </w:rPr>
        <w:t>技术人才</w:t>
      </w:r>
      <w:r>
        <w:rPr>
          <w:rFonts w:hint="eastAsia" w:ascii="宋体" w:hAnsi="宋体"/>
          <w:b/>
          <w:sz w:val="24"/>
          <w:lang w:val="en-US" w:eastAsia="zh-CN"/>
        </w:rPr>
        <w:t>流失</w:t>
      </w:r>
      <w:r>
        <w:rPr>
          <w:rFonts w:hint="eastAsia" w:ascii="宋体" w:hAnsi="宋体"/>
          <w:sz w:val="24"/>
        </w:rPr>
        <w:t>：人员流失大，工</w:t>
      </w:r>
      <w:bookmarkStart w:id="0" w:name="_GoBack"/>
      <w:bookmarkEnd w:id="0"/>
      <w:r>
        <w:rPr>
          <w:rFonts w:hint="eastAsia" w:ascii="宋体" w:hAnsi="宋体"/>
          <w:sz w:val="24"/>
        </w:rPr>
        <w:t>人不稳定，专业化人才更倾向到大城市发展，</w:t>
      </w:r>
      <w:r>
        <w:rPr>
          <w:rFonts w:hint="eastAsia" w:ascii="宋体" w:hAnsi="宋体"/>
          <w:sz w:val="24"/>
          <w:lang w:val="en-US" w:eastAsia="zh-CN"/>
        </w:rPr>
        <w:t>并且</w:t>
      </w:r>
      <w:r>
        <w:rPr>
          <w:rFonts w:hint="eastAsia" w:ascii="宋体" w:hAnsi="宋体"/>
          <w:sz w:val="24"/>
        </w:rPr>
        <w:t>本地研发技术人员聚集性不强，招聘困难较大</w:t>
      </w:r>
      <w:r>
        <w:rPr>
          <w:rFonts w:hint="eastAsia" w:ascii="宋体" w:hAnsi="宋体"/>
          <w:sz w:val="24"/>
          <w:lang w:eastAsia="zh-CN"/>
        </w:rPr>
        <w:t>；</w:t>
      </w:r>
    </w:p>
    <w:p>
      <w:pPr>
        <w:spacing w:line="360" w:lineRule="auto"/>
        <w:ind w:firstLine="482" w:firstLineChars="200"/>
        <w:rPr>
          <w:rFonts w:hint="eastAsia" w:ascii="宋体" w:hAnsi="宋体" w:eastAsia="宋体"/>
          <w:sz w:val="24"/>
          <w:lang w:eastAsia="zh-CN"/>
        </w:rPr>
      </w:pPr>
      <w:r>
        <w:rPr>
          <w:rFonts w:hint="eastAsia" w:ascii="宋体" w:hAnsi="宋体"/>
          <w:b/>
          <w:sz w:val="24"/>
          <w:lang w:val="en-US" w:eastAsia="zh-CN"/>
        </w:rPr>
        <w:t>3</w:t>
      </w:r>
      <w:r>
        <w:rPr>
          <w:rFonts w:hint="eastAsia" w:ascii="宋体" w:hAnsi="宋体"/>
          <w:b/>
          <w:sz w:val="24"/>
        </w:rPr>
        <w:t>、企业用工成本不断提高</w:t>
      </w:r>
      <w:r>
        <w:rPr>
          <w:rFonts w:hint="eastAsia" w:ascii="宋体" w:hAnsi="宋体"/>
          <w:sz w:val="24"/>
        </w:rPr>
        <w:t>：员工工资越来越高，社保公积金等费用也越来越多，企业相关的用工成本也越来越高</w:t>
      </w:r>
      <w:r>
        <w:rPr>
          <w:rFonts w:hint="eastAsia" w:ascii="宋体" w:hAnsi="宋体"/>
          <w:sz w:val="24"/>
          <w:lang w:eastAsia="zh-CN"/>
        </w:rPr>
        <w:t>；</w:t>
      </w:r>
    </w:p>
    <w:p>
      <w:pPr>
        <w:spacing w:line="360" w:lineRule="auto"/>
        <w:ind w:firstLine="482" w:firstLineChars="200"/>
        <w:rPr>
          <w:rFonts w:ascii="宋体" w:hAnsi="宋体"/>
          <w:b/>
          <w:bCs/>
          <w:sz w:val="24"/>
        </w:rPr>
      </w:pPr>
      <w:r>
        <w:rPr>
          <w:rFonts w:hint="eastAsia" w:ascii="宋体" w:hAnsi="宋体"/>
          <w:b/>
          <w:bCs/>
          <w:sz w:val="24"/>
          <w:lang w:val="en-US" w:eastAsia="zh-CN"/>
        </w:rPr>
        <w:t>4</w:t>
      </w:r>
      <w:r>
        <w:rPr>
          <w:rFonts w:hint="eastAsia" w:ascii="宋体" w:hAnsi="宋体"/>
          <w:b/>
          <w:bCs/>
          <w:sz w:val="24"/>
        </w:rPr>
        <w:t>、工作地点离家远：</w:t>
      </w:r>
      <w:r>
        <w:rPr>
          <w:rFonts w:hint="eastAsia" w:ascii="宋体" w:hAnsi="宋体"/>
          <w:sz w:val="24"/>
        </w:rPr>
        <w:t>保税区的一些企业反映，市区招聘到的人才大多居住在市区周边，多数员工不太愿意到这边发展。这些企业希望人才市场能多组织一些在金港、后塍周边的招聘活动。</w:t>
      </w:r>
    </w:p>
    <w:p>
      <w:pPr>
        <w:pStyle w:val="18"/>
        <w:numPr>
          <w:ilvl w:val="0"/>
          <w:numId w:val="1"/>
        </w:numPr>
        <w:spacing w:line="360" w:lineRule="auto"/>
        <w:ind w:firstLineChars="0"/>
        <w:rPr>
          <w:rFonts w:ascii="宋体" w:hAnsi="宋体"/>
          <w:b/>
          <w:sz w:val="24"/>
        </w:rPr>
      </w:pPr>
      <w:r>
        <w:rPr>
          <w:rFonts w:hint="eastAsia" w:ascii="宋体" w:hAnsi="宋体"/>
          <w:b/>
          <w:sz w:val="24"/>
        </w:rPr>
        <w:t>针对以上情况，我市采取了积极的应对措施</w:t>
      </w:r>
    </w:p>
    <w:p>
      <w:pPr>
        <w:adjustRightInd w:val="0"/>
        <w:snapToGrid w:val="0"/>
        <w:spacing w:line="360" w:lineRule="auto"/>
        <w:ind w:firstLine="482" w:firstLineChars="200"/>
        <w:jc w:val="left"/>
        <w:rPr>
          <w:rFonts w:ascii="宋体" w:hAnsi="宋体"/>
          <w:sz w:val="24"/>
        </w:rPr>
      </w:pPr>
      <w:r>
        <w:rPr>
          <w:rFonts w:hint="eastAsia" w:ascii="宋体" w:hAnsi="宋体"/>
          <w:b/>
          <w:sz w:val="24"/>
        </w:rPr>
        <w:t>1、</w:t>
      </w:r>
      <w:r>
        <w:rPr>
          <w:rFonts w:hint="eastAsia" w:ascii="宋体" w:hAnsi="宋体"/>
          <w:b/>
          <w:bCs/>
          <w:sz w:val="24"/>
        </w:rPr>
        <w:t>建立跨地区交流协作机制</w:t>
      </w:r>
      <w:r>
        <w:rPr>
          <w:rFonts w:hint="eastAsia" w:ascii="宋体" w:hAnsi="宋体"/>
          <w:sz w:val="24"/>
        </w:rPr>
        <w:t>：2022年三季度，我局赴安徽省阜阳市、湖南省汨罗市、江苏省宿迁市宿豫区等地开展劳务对接活动，与上述当地人社部门就组织劳务输出，建立劳务基地、提供就业岗位，建立联络机制等协作内容进行了深入交流，建立跨地区交流协作机制。下一步，我们将继续深化中西部劳务协作对接，多渠道、多区域开展常态劳务协作。积极推动劳务协作跨地区交流机制，加强同外省市人社部门的交流联系，完善劳务对接机制、强化用工跟踪服务、优化来港服务平台，引导人力资源服务机构参与劳务协作，加大劳务引入力度，更好满足我市各类企业的用工需求。</w:t>
      </w:r>
    </w:p>
    <w:p>
      <w:pPr>
        <w:spacing w:line="360" w:lineRule="auto"/>
        <w:ind w:firstLine="482" w:firstLineChars="200"/>
        <w:rPr>
          <w:rFonts w:hint="eastAsia" w:ascii="宋体" w:hAnsi="宋体" w:eastAsia="宋体"/>
          <w:sz w:val="24"/>
          <w:lang w:eastAsia="zh-CN"/>
        </w:rPr>
      </w:pPr>
      <w:r>
        <w:rPr>
          <w:rFonts w:hint="eastAsia" w:ascii="宋体" w:hAnsi="宋体"/>
          <w:b/>
          <w:sz w:val="24"/>
        </w:rPr>
        <w:t>2、大力开展失业保险援企稳岗“护航行动”</w:t>
      </w:r>
      <w:r>
        <w:rPr>
          <w:rFonts w:hint="eastAsia" w:ascii="宋体" w:hAnsi="宋体"/>
          <w:sz w:val="24"/>
        </w:rPr>
        <w:t>：</w:t>
      </w:r>
      <w:r>
        <w:rPr>
          <w:rFonts w:hint="eastAsia" w:ascii="宋体" w:hAnsi="宋体"/>
          <w:bCs/>
          <w:sz w:val="24"/>
        </w:rPr>
        <w:t>我市采用免申即享的方式，对餐饮、零售、旅游、民航和公路水路铁路运输5个受疫情影响严重行业的7366家企业进行了首批一次性留工培训补助资金发放，共计发放1724.85万元，惠及职工3.45万人。其他应对疫情防控需要停工停产的参保单位，我市将继续采用直达快享的经办模式，通过大数据比对生成发放名单，经公示后予以发放。并且对受疫情影响较大、生产经营困难的中小微企业实施社会保险缓缴政策。</w:t>
      </w:r>
      <w:r>
        <w:rPr>
          <w:rFonts w:hint="eastAsia" w:ascii="宋体" w:hAnsi="宋体"/>
          <w:bCs/>
          <w:sz w:val="24"/>
          <w:lang w:val="en-US" w:eastAsia="zh-CN"/>
        </w:rPr>
        <w:t>为了</w:t>
      </w:r>
      <w:r>
        <w:rPr>
          <w:rFonts w:hint="eastAsia" w:ascii="宋体" w:hAnsi="宋体"/>
          <w:bCs/>
          <w:sz w:val="24"/>
        </w:rPr>
        <w:t>积极鼓励企业吸纳2022届高校毕业生在港留港就业，</w:t>
      </w:r>
      <w:r>
        <w:rPr>
          <w:rFonts w:hint="eastAsia" w:ascii="宋体" w:hAnsi="宋体"/>
          <w:bCs/>
          <w:sz w:val="24"/>
          <w:lang w:val="en-US" w:eastAsia="zh-CN"/>
        </w:rPr>
        <w:t>8月</w:t>
      </w:r>
      <w:r>
        <w:rPr>
          <w:rFonts w:hint="eastAsia" w:ascii="宋体" w:hAnsi="宋体"/>
          <w:bCs/>
          <w:sz w:val="24"/>
        </w:rPr>
        <w:t>，我市完成首批一次性扩岗补助发放工作。首批共计发放补助资金81.6万元，惠及277家企业吸纳的544名高校毕业生</w:t>
      </w:r>
      <w:r>
        <w:rPr>
          <w:rFonts w:hint="eastAsia" w:ascii="宋体" w:hAnsi="宋体"/>
          <w:bCs/>
          <w:sz w:val="24"/>
          <w:lang w:eastAsia="zh-CN"/>
        </w:rPr>
        <w:t>。</w:t>
      </w:r>
    </w:p>
    <w:p>
      <w:pPr>
        <w:spacing w:line="360" w:lineRule="auto"/>
        <w:ind w:firstLine="482" w:firstLineChars="200"/>
        <w:rPr>
          <w:rFonts w:ascii="宋体" w:hAnsi="宋体"/>
          <w:sz w:val="24"/>
        </w:rPr>
      </w:pPr>
      <w:r>
        <w:rPr>
          <w:rFonts w:hint="eastAsia" w:ascii="宋体" w:hAnsi="宋体"/>
          <w:b/>
          <w:sz w:val="24"/>
        </w:rPr>
        <w:t>3、召开2022年高校毕业生就业工作推进会</w:t>
      </w:r>
      <w:r>
        <w:rPr>
          <w:rFonts w:hint="eastAsia" w:ascii="宋体" w:hAnsi="宋体"/>
          <w:sz w:val="24"/>
        </w:rPr>
        <w:t>：目前毕业生工作形势依然严峻，如何更好地促进就业，尤其是保障高校毕业生等重点群体就业，至关重要。下一阶段仍要持续做好毕业生现状摸底、完善毕业生系统信息、拓宽毕业生就业渠道、做好毕业生重点帮扶，确保高质量完成今年高校毕业生就业工作。</w:t>
      </w:r>
    </w:p>
    <w:p>
      <w:pPr>
        <w:adjustRightInd w:val="0"/>
        <w:snapToGrid w:val="0"/>
        <w:spacing w:line="360" w:lineRule="auto"/>
        <w:jc w:val="left"/>
        <w:rPr>
          <w:color w:val="FF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F6225"/>
    <w:multiLevelType w:val="multilevel"/>
    <w:tmpl w:val="59FF6225"/>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UwMjgwMjVjNzA2ZmFjNTU1YzBjNjE5MDc4MjM3OTQ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276EE8"/>
    <w:rsid w:val="02600504"/>
    <w:rsid w:val="027A76EE"/>
    <w:rsid w:val="039447DF"/>
    <w:rsid w:val="04F65062"/>
    <w:rsid w:val="06606BFB"/>
    <w:rsid w:val="080A1514"/>
    <w:rsid w:val="09266FAB"/>
    <w:rsid w:val="09EF1FDE"/>
    <w:rsid w:val="0BCD7620"/>
    <w:rsid w:val="0D133A1F"/>
    <w:rsid w:val="0DA254D8"/>
    <w:rsid w:val="0E4F332A"/>
    <w:rsid w:val="0FBE0066"/>
    <w:rsid w:val="112F5B47"/>
    <w:rsid w:val="12E017EF"/>
    <w:rsid w:val="143040B0"/>
    <w:rsid w:val="165E1976"/>
    <w:rsid w:val="165F0455"/>
    <w:rsid w:val="16D03928"/>
    <w:rsid w:val="171D2EE8"/>
    <w:rsid w:val="17463BEB"/>
    <w:rsid w:val="18705AC9"/>
    <w:rsid w:val="18D92F68"/>
    <w:rsid w:val="1930537C"/>
    <w:rsid w:val="199F75F7"/>
    <w:rsid w:val="19E576EB"/>
    <w:rsid w:val="1A497C7A"/>
    <w:rsid w:val="1C2C1B1A"/>
    <w:rsid w:val="1CC17059"/>
    <w:rsid w:val="1D7315FE"/>
    <w:rsid w:val="1F18526B"/>
    <w:rsid w:val="1F4A60B4"/>
    <w:rsid w:val="20A72B06"/>
    <w:rsid w:val="20E66BBC"/>
    <w:rsid w:val="216F1BE5"/>
    <w:rsid w:val="23097FD3"/>
    <w:rsid w:val="248D2E59"/>
    <w:rsid w:val="25115838"/>
    <w:rsid w:val="275544FE"/>
    <w:rsid w:val="296B7D86"/>
    <w:rsid w:val="2A32072A"/>
    <w:rsid w:val="2ADF3CE2"/>
    <w:rsid w:val="2B267C2C"/>
    <w:rsid w:val="2B58324B"/>
    <w:rsid w:val="2D4B38B1"/>
    <w:rsid w:val="2E073C78"/>
    <w:rsid w:val="2E46039E"/>
    <w:rsid w:val="2E7B1445"/>
    <w:rsid w:val="2EF91EDC"/>
    <w:rsid w:val="2F452CAE"/>
    <w:rsid w:val="2FF13BF2"/>
    <w:rsid w:val="325274FF"/>
    <w:rsid w:val="333C7DDE"/>
    <w:rsid w:val="34F21A21"/>
    <w:rsid w:val="353A4937"/>
    <w:rsid w:val="35D703D8"/>
    <w:rsid w:val="376037DD"/>
    <w:rsid w:val="3AC86FBB"/>
    <w:rsid w:val="3B114DF7"/>
    <w:rsid w:val="3D436353"/>
    <w:rsid w:val="3DD376D7"/>
    <w:rsid w:val="3ED9165E"/>
    <w:rsid w:val="40354679"/>
    <w:rsid w:val="413B1790"/>
    <w:rsid w:val="42482694"/>
    <w:rsid w:val="44945DD7"/>
    <w:rsid w:val="45A2455E"/>
    <w:rsid w:val="4731335A"/>
    <w:rsid w:val="476B6BD2"/>
    <w:rsid w:val="48186781"/>
    <w:rsid w:val="49AF0FF8"/>
    <w:rsid w:val="4D0C050F"/>
    <w:rsid w:val="4D422183"/>
    <w:rsid w:val="4D460FB1"/>
    <w:rsid w:val="4E2A4378"/>
    <w:rsid w:val="4F7E64C7"/>
    <w:rsid w:val="51930FD3"/>
    <w:rsid w:val="5229020B"/>
    <w:rsid w:val="52735E42"/>
    <w:rsid w:val="52950FA7"/>
    <w:rsid w:val="56011B60"/>
    <w:rsid w:val="564231F4"/>
    <w:rsid w:val="57077AC2"/>
    <w:rsid w:val="583A6878"/>
    <w:rsid w:val="594159E5"/>
    <w:rsid w:val="5D7B1CC1"/>
    <w:rsid w:val="5ED115B9"/>
    <w:rsid w:val="602E60BA"/>
    <w:rsid w:val="610E08A2"/>
    <w:rsid w:val="64EF7C62"/>
    <w:rsid w:val="65D6012C"/>
    <w:rsid w:val="65E378BD"/>
    <w:rsid w:val="6612673F"/>
    <w:rsid w:val="674943E2"/>
    <w:rsid w:val="6818595B"/>
    <w:rsid w:val="68CF4340"/>
    <w:rsid w:val="68DC4DE2"/>
    <w:rsid w:val="69CC12FA"/>
    <w:rsid w:val="69CE6E20"/>
    <w:rsid w:val="6BBD5ED0"/>
    <w:rsid w:val="6BBF6898"/>
    <w:rsid w:val="6BDA7CFF"/>
    <w:rsid w:val="6D0019E7"/>
    <w:rsid w:val="6D6A425B"/>
    <w:rsid w:val="6E8842D7"/>
    <w:rsid w:val="6E9D553D"/>
    <w:rsid w:val="6F5C0A2B"/>
    <w:rsid w:val="715A6CDB"/>
    <w:rsid w:val="728C7879"/>
    <w:rsid w:val="72DF209E"/>
    <w:rsid w:val="731A1328"/>
    <w:rsid w:val="734300DC"/>
    <w:rsid w:val="73BB0416"/>
    <w:rsid w:val="75241FEA"/>
    <w:rsid w:val="75FF0362"/>
    <w:rsid w:val="76AA32D9"/>
    <w:rsid w:val="77057911"/>
    <w:rsid w:val="77245B9A"/>
    <w:rsid w:val="77B112AB"/>
    <w:rsid w:val="780B4EDE"/>
    <w:rsid w:val="79AE38A9"/>
    <w:rsid w:val="7C174657"/>
    <w:rsid w:val="7C7F3FAA"/>
    <w:rsid w:val="7CAB2DCD"/>
    <w:rsid w:val="7D4B14A7"/>
    <w:rsid w:val="7D9577C3"/>
    <w:rsid w:val="7EE66563"/>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5"/>
    <w:semiHidden/>
    <w:qFormat/>
    <w:uiPriority w:val="0"/>
    <w:pPr>
      <w:shd w:val="clear" w:color="auto" w:fill="000080"/>
    </w:pPr>
  </w:style>
  <w:style w:type="paragraph" w:styleId="3">
    <w:name w:val="Balloon Text"/>
    <w:basedOn w:val="1"/>
    <w:link w:val="13"/>
    <w:semiHidden/>
    <w:unhideWhenUsed/>
    <w:qFormat/>
    <w:uiPriority w:val="0"/>
    <w:rPr>
      <w:sz w:val="18"/>
      <w:szCs w:val="18"/>
    </w:rPr>
  </w:style>
  <w:style w:type="paragraph" w:styleId="4">
    <w:name w:val="footer"/>
    <w:basedOn w:val="1"/>
    <w:link w:val="12"/>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paragraph" w:customStyle="1" w:styleId="14">
    <w:name w:val="Char Char Char Char"/>
    <w:basedOn w:val="2"/>
    <w:qFormat/>
    <w:uiPriority w:val="0"/>
    <w:pPr>
      <w:widowControl/>
      <w:ind w:firstLine="454"/>
      <w:jc w:val="left"/>
    </w:pPr>
    <w:rPr>
      <w:rFonts w:ascii="Tahoma" w:hAnsi="Tahoma" w:cs="宋体"/>
      <w:kern w:val="0"/>
      <w:szCs w:val="20"/>
    </w:rPr>
  </w:style>
  <w:style w:type="character" w:customStyle="1" w:styleId="15">
    <w:name w:val="文档结构图 Char"/>
    <w:basedOn w:val="8"/>
    <w:link w:val="2"/>
    <w:semiHidden/>
    <w:qFormat/>
    <w:uiPriority w:val="0"/>
    <w:rPr>
      <w:rFonts w:ascii="Times New Roman" w:hAnsi="Times New Roman" w:eastAsia="宋体" w:cs="Times New Roman"/>
      <w:szCs w:val="24"/>
      <w:shd w:val="clear" w:color="auto" w:fill="000080"/>
    </w:rPr>
  </w:style>
  <w:style w:type="paragraph" w:customStyle="1" w:styleId="16">
    <w:name w:val="Char"/>
    <w:basedOn w:val="1"/>
    <w:qFormat/>
    <w:uiPriority w:val="0"/>
    <w:rPr>
      <w:rFonts w:ascii="Tahoma" w:hAnsi="Tahoma"/>
      <w:sz w:val="24"/>
      <w:szCs w:val="20"/>
    </w:rPr>
  </w:style>
  <w:style w:type="paragraph" w:customStyle="1" w:styleId="17">
    <w:name w:val="p0"/>
    <w:basedOn w:val="1"/>
    <w:qFormat/>
    <w:uiPriority w:val="0"/>
    <w:pPr>
      <w:widowControl/>
    </w:pPr>
    <w:rPr>
      <w:kern w:val="0"/>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7407407407407"/>
          <c:y val="0.0851637764932564"/>
          <c:w val="0.652706552706553"/>
          <c:h val="0.712909441233142"/>
        </c:manualLayout>
      </c:layout>
      <c:lineChart>
        <c:grouping val="standard"/>
        <c:varyColors val="0"/>
        <c:ser>
          <c:idx val="0"/>
          <c:order val="0"/>
          <c:tx>
            <c:strRef>
              <c:f>Sheet1!$B$1</c:f>
              <c:strCache>
                <c:ptCount val="1"/>
                <c:pt idx="0">
                  <c:v>2021年求人倍率</c:v>
                </c:pt>
              </c:strCache>
            </c:strRef>
          </c:tx>
          <c:dLbls>
            <c:delete val="1"/>
          </c:dLbls>
          <c:cat>
            <c:strRef>
              <c:f>Sheet1!$A$2:$A$10</c:f>
              <c:strCache>
                <c:ptCount val="9"/>
                <c:pt idx="0">
                  <c:v>一月</c:v>
                </c:pt>
                <c:pt idx="1">
                  <c:v>二月</c:v>
                </c:pt>
                <c:pt idx="2">
                  <c:v>三月</c:v>
                </c:pt>
                <c:pt idx="3">
                  <c:v>四月</c:v>
                </c:pt>
                <c:pt idx="4">
                  <c:v>五月</c:v>
                </c:pt>
                <c:pt idx="5">
                  <c:v>六月</c:v>
                </c:pt>
                <c:pt idx="6">
                  <c:v>七月</c:v>
                </c:pt>
                <c:pt idx="7">
                  <c:v>八月</c:v>
                </c:pt>
                <c:pt idx="8">
                  <c:v>九月</c:v>
                </c:pt>
              </c:strCache>
            </c:strRef>
          </c:cat>
          <c:val>
            <c:numRef>
              <c:f>Sheet1!$B$2:$B$10</c:f>
              <c:numCache>
                <c:formatCode>General</c:formatCode>
                <c:ptCount val="9"/>
                <c:pt idx="0">
                  <c:v>1.27</c:v>
                </c:pt>
                <c:pt idx="1">
                  <c:v>1.25</c:v>
                </c:pt>
                <c:pt idx="2">
                  <c:v>1.24</c:v>
                </c:pt>
                <c:pt idx="3">
                  <c:v>1.23</c:v>
                </c:pt>
                <c:pt idx="4">
                  <c:v>1.21</c:v>
                </c:pt>
                <c:pt idx="5">
                  <c:v>1.2</c:v>
                </c:pt>
                <c:pt idx="6">
                  <c:v>1.2</c:v>
                </c:pt>
                <c:pt idx="7">
                  <c:v>1.21</c:v>
                </c:pt>
                <c:pt idx="8">
                  <c:v>1.2</c:v>
                </c:pt>
              </c:numCache>
            </c:numRef>
          </c:val>
          <c:smooth val="0"/>
        </c:ser>
        <c:ser>
          <c:idx val="1"/>
          <c:order val="1"/>
          <c:tx>
            <c:strRef>
              <c:f>Sheet1!$C$1</c:f>
              <c:strCache>
                <c:ptCount val="1"/>
                <c:pt idx="0">
                  <c:v>2022年求人倍率</c:v>
                </c:pt>
              </c:strCache>
            </c:strRef>
          </c:tx>
          <c:dLbls>
            <c:delete val="1"/>
          </c:dLbls>
          <c:cat>
            <c:strRef>
              <c:f>Sheet1!$A$2:$A$10</c:f>
              <c:strCache>
                <c:ptCount val="9"/>
                <c:pt idx="0">
                  <c:v>一月</c:v>
                </c:pt>
                <c:pt idx="1">
                  <c:v>二月</c:v>
                </c:pt>
                <c:pt idx="2">
                  <c:v>三月</c:v>
                </c:pt>
                <c:pt idx="3">
                  <c:v>四月</c:v>
                </c:pt>
                <c:pt idx="4">
                  <c:v>五月</c:v>
                </c:pt>
                <c:pt idx="5">
                  <c:v>六月</c:v>
                </c:pt>
                <c:pt idx="6">
                  <c:v>七月</c:v>
                </c:pt>
                <c:pt idx="7">
                  <c:v>八月</c:v>
                </c:pt>
                <c:pt idx="8">
                  <c:v>九月</c:v>
                </c:pt>
              </c:strCache>
            </c:strRef>
          </c:cat>
          <c:val>
            <c:numRef>
              <c:f>Sheet1!$C$2:$C$10</c:f>
              <c:numCache>
                <c:formatCode>General</c:formatCode>
                <c:ptCount val="9"/>
                <c:pt idx="0">
                  <c:v>1.28</c:v>
                </c:pt>
                <c:pt idx="1">
                  <c:v>1.28</c:v>
                </c:pt>
                <c:pt idx="2">
                  <c:v>1.25</c:v>
                </c:pt>
                <c:pt idx="3">
                  <c:v>1.3</c:v>
                </c:pt>
                <c:pt idx="4">
                  <c:v>1.26</c:v>
                </c:pt>
                <c:pt idx="5">
                  <c:v>1.22</c:v>
                </c:pt>
                <c:pt idx="6">
                  <c:v>1.21</c:v>
                </c:pt>
                <c:pt idx="7">
                  <c:v>1.2</c:v>
                </c:pt>
                <c:pt idx="8">
                  <c:v>1.19</c:v>
                </c:pt>
              </c:numCache>
            </c:numRef>
          </c:val>
          <c:smooth val="0"/>
        </c:ser>
        <c:dLbls>
          <c:showLegendKey val="0"/>
          <c:showVal val="0"/>
          <c:showCatName val="0"/>
          <c:showSerName val="0"/>
          <c:showPercent val="0"/>
          <c:showBubbleSize val="0"/>
        </c:dLbls>
        <c:marker val="1"/>
        <c:smooth val="0"/>
        <c:axId val="96389760"/>
        <c:axId val="116023680"/>
      </c:lineChart>
      <c:catAx>
        <c:axId val="963897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6023680"/>
        <c:crosses val="autoZero"/>
        <c:auto val="1"/>
        <c:lblAlgn val="ctr"/>
        <c:lblOffset val="100"/>
        <c:noMultiLvlLbl val="0"/>
      </c:catAx>
      <c:valAx>
        <c:axId val="1160236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6389760"/>
        <c:crosses val="autoZero"/>
        <c:crossBetween val="between"/>
      </c:valAx>
    </c:plotArea>
    <c:legend>
      <c:legendPos val="r"/>
      <c:layout>
        <c:manualLayout>
          <c:xMode val="edge"/>
          <c:yMode val="edge"/>
          <c:x val="0.803703703703704"/>
          <c:y val="0.509441233140655"/>
          <c:w val="0.192022792022792"/>
          <c:h val="0.46628131021194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3855</Words>
  <Characters>5357</Characters>
  <Lines>47</Lines>
  <Paragraphs>13</Paragraphs>
  <TotalTime>0</TotalTime>
  <ScaleCrop>false</ScaleCrop>
  <LinksUpToDate>false</LinksUpToDate>
  <CharactersWithSpaces>5483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Admin</cp:lastModifiedBy>
  <dcterms:modified xsi:type="dcterms:W3CDTF">2022-10-08T07:58:06Z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B933374054D946DFAA283D590D74C416</vt:lpwstr>
  </property>
</Properties>
</file>