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宋体" w:hAnsi="宋体"/>
          <w:b/>
          <w:sz w:val="44"/>
          <w:szCs w:val="44"/>
        </w:rPr>
      </w:pPr>
      <w:r>
        <w:rPr>
          <w:rFonts w:hint="eastAsia" w:ascii="宋体" w:hAnsi="宋体"/>
          <w:b/>
          <w:sz w:val="44"/>
          <w:szCs w:val="44"/>
        </w:rPr>
        <w:t xml:space="preserve"> </w:t>
      </w:r>
      <w:bookmarkStart w:id="0" w:name="_GoBack"/>
      <w:r>
        <w:rPr>
          <w:rFonts w:ascii="宋体" w:hAnsi="宋体"/>
          <w:b/>
          <w:sz w:val="44"/>
          <w:szCs w:val="44"/>
        </w:rPr>
        <w:t>20</w:t>
      </w:r>
      <w:r>
        <w:rPr>
          <w:rFonts w:hint="eastAsia" w:ascii="宋体" w:hAnsi="宋体"/>
          <w:b/>
          <w:sz w:val="44"/>
          <w:szCs w:val="44"/>
        </w:rPr>
        <w:t>21</w:t>
      </w:r>
      <w:r>
        <w:rPr>
          <w:rFonts w:ascii="宋体" w:hAnsi="宋体"/>
          <w:b/>
          <w:sz w:val="44"/>
          <w:szCs w:val="44"/>
        </w:rPr>
        <w:t>年第</w:t>
      </w:r>
      <w:r>
        <w:rPr>
          <w:rFonts w:hint="eastAsia" w:ascii="宋体" w:hAnsi="宋体"/>
          <w:b/>
          <w:sz w:val="44"/>
          <w:szCs w:val="44"/>
        </w:rPr>
        <w:t>三</w:t>
      </w:r>
      <w:r>
        <w:rPr>
          <w:rFonts w:ascii="宋体" w:hAnsi="宋体"/>
          <w:b/>
          <w:sz w:val="44"/>
          <w:szCs w:val="44"/>
        </w:rPr>
        <w:t>季度</w:t>
      </w:r>
      <w:r>
        <w:rPr>
          <w:rFonts w:hint="eastAsia" w:ascii="宋体" w:hAnsi="宋体"/>
          <w:b/>
          <w:sz w:val="44"/>
          <w:szCs w:val="44"/>
        </w:rPr>
        <w:t>张家港市人力资源</w:t>
      </w:r>
    </w:p>
    <w:p>
      <w:pPr>
        <w:adjustRightInd w:val="0"/>
        <w:snapToGrid w:val="0"/>
        <w:jc w:val="center"/>
        <w:rPr>
          <w:rFonts w:ascii="宋体" w:hAnsi="宋体"/>
          <w:b/>
          <w:sz w:val="44"/>
          <w:szCs w:val="44"/>
        </w:rPr>
      </w:pPr>
      <w:r>
        <w:rPr>
          <w:rFonts w:ascii="宋体" w:hAnsi="宋体"/>
          <w:b/>
          <w:sz w:val="44"/>
          <w:szCs w:val="44"/>
        </w:rPr>
        <w:t>市场供求状况分析</w:t>
      </w:r>
    </w:p>
    <w:bookmarkEnd w:id="0"/>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widowControl/>
        <w:spacing w:before="100" w:beforeAutospacing="1" w:after="100" w:afterAutospacing="1" w:line="360" w:lineRule="auto"/>
        <w:jc w:val="left"/>
        <w:rPr>
          <w:rFonts w:ascii="宋体" w:hAnsi="宋体" w:cs="宋体"/>
          <w:b/>
          <w:bCs/>
          <w:kern w:val="0"/>
          <w:sz w:val="30"/>
          <w:szCs w:val="30"/>
        </w:rPr>
      </w:pPr>
      <w:r>
        <w:rPr>
          <w:rFonts w:hint="eastAsia" w:ascii="宋体" w:hAnsi="宋体" w:cs="宋体"/>
          <w:b/>
          <w:bCs/>
          <w:kern w:val="0"/>
          <w:sz w:val="30"/>
          <w:szCs w:val="30"/>
        </w:rPr>
        <w:t>一、人力资源市场总体数据概况</w:t>
      </w:r>
    </w:p>
    <w:p>
      <w:pPr>
        <w:widowControl/>
        <w:spacing w:before="100" w:beforeAutospacing="1" w:after="100" w:afterAutospacing="1" w:line="360" w:lineRule="auto"/>
        <w:ind w:firstLine="420" w:firstLineChars="200"/>
        <w:jc w:val="left"/>
        <w:rPr>
          <w:rFonts w:ascii="宋体" w:hAnsi="宋体" w:cs="宋体"/>
          <w:b/>
          <w:bCs/>
          <w:kern w:val="0"/>
          <w:sz w:val="30"/>
          <w:szCs w:val="30"/>
        </w:rPr>
      </w:pPr>
      <w:r>
        <w:rPr>
          <w:rFonts w:hint="eastAsia" w:ascii="宋体" w:hAnsi="宋体" w:cs="宋体"/>
          <w:kern w:val="0"/>
          <w:szCs w:val="21"/>
        </w:rPr>
        <w:t>三季度，我市人力资源市场共提供岗位需求43454个次，求职者36103人次，求人倍率约为1.20，求人倍率较2020年同期基本持平，三季度我市人力资源市场、各镇（区）人力资源市场正常开展线上和线下招聘，本期数据主要来源于全市现场招聘会以及张家港市人才网站采集的供求状况信息，均为有效数据。</w:t>
      </w:r>
    </w:p>
    <w:p>
      <w:pPr>
        <w:widowControl/>
        <w:spacing w:before="100" w:beforeAutospacing="1" w:after="100" w:afterAutospacing="1" w:line="360" w:lineRule="auto"/>
        <w:jc w:val="left"/>
        <w:rPr>
          <w:rFonts w:ascii="宋体" w:hAnsi="宋体"/>
          <w:b/>
          <w:sz w:val="30"/>
          <w:szCs w:val="30"/>
        </w:rPr>
      </w:pPr>
      <w:r>
        <w:rPr>
          <w:rFonts w:hint="eastAsia" w:ascii="宋体" w:hAnsi="宋体"/>
          <w:b/>
          <w:sz w:val="30"/>
          <w:szCs w:val="30"/>
        </w:rPr>
        <w:t>二</w:t>
      </w:r>
      <w:r>
        <w:rPr>
          <w:rFonts w:ascii="宋体" w:hAnsi="宋体"/>
          <w:b/>
          <w:sz w:val="30"/>
          <w:szCs w:val="30"/>
        </w:rPr>
        <w:t>、供求总体情况</w:t>
      </w:r>
    </w:p>
    <w:p>
      <w:pPr>
        <w:spacing w:line="360" w:lineRule="auto"/>
        <w:rPr>
          <w:rFonts w:ascii="宋体" w:hAnsi="宋体" w:cs="宋体"/>
          <w:color w:val="FF0000"/>
          <w:kern w:val="0"/>
          <w:szCs w:val="21"/>
        </w:rPr>
      </w:pPr>
      <w:r>
        <w:rPr>
          <w:rFonts w:hint="eastAsia" w:ascii="宋体" w:hAnsi="宋体" w:cs="宋体"/>
          <w:b/>
          <w:kern w:val="0"/>
          <w:szCs w:val="21"/>
        </w:rPr>
        <w:t>（一）供求总体状况：</w:t>
      </w:r>
      <w:r>
        <w:rPr>
          <w:rFonts w:hint="eastAsia" w:ascii="宋体" w:hAnsi="宋体" w:cs="宋体"/>
          <w:kern w:val="0"/>
          <w:szCs w:val="21"/>
        </w:rPr>
        <w:t>本季度需求人数43454人，与去年同期相比增加2508人，增幅为6.1%。求职人数为36103人，与去年同期相比增加1972人，增幅为5.8%，三季度因新冠疫情影响 主要以线上招聘为主。</w:t>
      </w:r>
    </w:p>
    <w:p>
      <w:pPr>
        <w:adjustRightInd w:val="0"/>
        <w:snapToGrid w:val="0"/>
        <w:spacing w:line="360" w:lineRule="auto"/>
        <w:jc w:val="center"/>
        <w:rPr>
          <w:rFonts w:ascii="宋体" w:hAnsi="宋体"/>
          <w:szCs w:val="21"/>
        </w:rPr>
      </w:pPr>
      <w:r>
        <w:rPr>
          <w:rFonts w:hint="eastAsia" w:ascii="宋体" w:hAnsi="宋体"/>
          <w:szCs w:val="21"/>
        </w:rPr>
        <w:t>表</w:t>
      </w:r>
      <w:r>
        <w:rPr>
          <w:rFonts w:ascii="宋体" w:hAnsi="宋体"/>
          <w:szCs w:val="21"/>
        </w:rPr>
        <w:t>1</w:t>
      </w:r>
      <w:r>
        <w:rPr>
          <w:rFonts w:hint="eastAsia" w:ascii="宋体" w:hAnsi="宋体"/>
          <w:szCs w:val="21"/>
        </w:rPr>
        <w:t>. 供求总体情况</w:t>
      </w:r>
    </w:p>
    <w:tbl>
      <w:tblPr>
        <w:tblStyle w:val="6"/>
        <w:tblW w:w="0" w:type="auto"/>
        <w:jc w:val="center"/>
        <w:tblLayout w:type="autofit"/>
        <w:tblCellMar>
          <w:top w:w="0" w:type="dxa"/>
          <w:left w:w="0" w:type="dxa"/>
          <w:bottom w:w="0" w:type="dxa"/>
          <w:right w:w="0" w:type="dxa"/>
        </w:tblCellMar>
      </w:tblPr>
      <w:tblGrid>
        <w:gridCol w:w="1347"/>
        <w:gridCol w:w="1607"/>
        <w:gridCol w:w="1585"/>
        <w:gridCol w:w="1500"/>
      </w:tblGrid>
      <w:tr>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Cs w:val="21"/>
              </w:rPr>
            </w:pPr>
            <w:r>
              <w:rPr>
                <w:rFonts w:ascii="宋体" w:hAnsi="宋体" w:cs="宋体"/>
                <w:kern w:val="0"/>
                <w:szCs w:val="21"/>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r>
      <w:tr>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本期</w:t>
            </w:r>
          </w:p>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ascii="宋体" w:hAnsi="宋体" w:cs="宋体"/>
                <w:kern w:val="0"/>
                <w:szCs w:val="21"/>
              </w:rPr>
              <w:t>43454</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ascii="宋体" w:hAnsi="宋体" w:cs="宋体"/>
                <w:kern w:val="0"/>
                <w:szCs w:val="21"/>
              </w:rPr>
              <w:t>36103</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1.20</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（二）</w:t>
      </w:r>
      <w:r>
        <w:rPr>
          <w:rFonts w:ascii="宋体" w:hAnsi="宋体"/>
          <w:b/>
          <w:szCs w:val="21"/>
        </w:rPr>
        <w:t>分</w:t>
      </w:r>
      <w:r>
        <w:rPr>
          <w:rFonts w:hint="eastAsia" w:ascii="宋体" w:hAnsi="宋体"/>
          <w:b/>
          <w:szCs w:val="21"/>
        </w:rPr>
        <w:t>产业、</w:t>
      </w:r>
      <w:r>
        <w:rPr>
          <w:rFonts w:ascii="宋体" w:hAnsi="宋体"/>
          <w:b/>
          <w:szCs w:val="21"/>
        </w:rPr>
        <w:t>行业劳动力需求</w:t>
      </w:r>
    </w:p>
    <w:p>
      <w:pPr>
        <w:spacing w:line="360" w:lineRule="auto"/>
        <w:ind w:firstLine="420" w:firstLineChars="200"/>
        <w:rPr>
          <w:rFonts w:ascii="宋体" w:hAnsi="宋体" w:cs="宋体"/>
          <w:color w:val="FF0000"/>
          <w:kern w:val="0"/>
          <w:szCs w:val="21"/>
        </w:rPr>
      </w:pPr>
      <w:r>
        <w:rPr>
          <w:rFonts w:hint="eastAsia" w:ascii="宋体" w:hAnsi="宋体" w:cs="宋体"/>
          <w:kern w:val="0"/>
          <w:szCs w:val="21"/>
        </w:rPr>
        <w:t>从产业分组情况看，第一产业本季度为</w:t>
      </w:r>
      <w:r>
        <w:rPr>
          <w:rFonts w:ascii="宋体" w:hAnsi="宋体" w:cs="宋体"/>
          <w:kern w:val="0"/>
          <w:szCs w:val="21"/>
        </w:rPr>
        <w:t>0</w:t>
      </w:r>
      <w:r>
        <w:rPr>
          <w:rFonts w:hint="eastAsia" w:ascii="宋体" w:hAnsi="宋体" w:cs="宋体"/>
          <w:kern w:val="0"/>
          <w:szCs w:val="21"/>
        </w:rPr>
        <w:t>；第二产业本季需求数为30311人，占总需求的69.75%，第三产业本季需求数为13143人，占总需求的30.25%。</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第一产业始终为0，第二产业居人力资源市场需求的主导地位，我市用工需求主要集中在生产性企业中，第三产业比重较二季度略有下降。</w:t>
      </w:r>
    </w:p>
    <w:p>
      <w:pPr>
        <w:adjustRightInd w:val="0"/>
        <w:snapToGrid w:val="0"/>
        <w:spacing w:line="360" w:lineRule="auto"/>
        <w:jc w:val="center"/>
        <w:rPr>
          <w:rFonts w:ascii="宋体" w:hAnsi="宋体"/>
          <w:szCs w:val="21"/>
        </w:rPr>
      </w:pPr>
      <w:r>
        <w:rPr>
          <w:rFonts w:hint="eastAsia" w:ascii="宋体" w:hAnsi="宋体"/>
          <w:szCs w:val="21"/>
        </w:rPr>
        <w:t>表2. 按产业分组的需求人数</w:t>
      </w:r>
    </w:p>
    <w:tbl>
      <w:tblPr>
        <w:tblStyle w:val="6"/>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30311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69.75%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13143</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30.25%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43454</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rPr>
              <w:t>100.00%</w:t>
            </w:r>
          </w:p>
        </w:tc>
      </w:tr>
    </w:tbl>
    <w:p>
      <w:pPr>
        <w:adjustRightInd w:val="0"/>
        <w:snapToGrid w:val="0"/>
        <w:spacing w:line="360" w:lineRule="auto"/>
        <w:rPr>
          <w:rFonts w:ascii="宋体" w:hAnsi="宋体"/>
          <w:color w:val="FF0000"/>
          <w:szCs w:val="21"/>
        </w:rPr>
      </w:pPr>
      <w:r>
        <w:rPr>
          <w:rFonts w:hint="eastAsia" w:ascii="宋体" w:hAnsi="宋体"/>
          <w:color w:val="FF0000"/>
          <w:szCs w:val="21"/>
        </w:rPr>
        <w:t xml:space="preserve">                </w:t>
      </w:r>
    </w:p>
    <w:p>
      <w:pPr>
        <w:adjustRightInd w:val="0"/>
        <w:snapToGrid w:val="0"/>
        <w:spacing w:line="360" w:lineRule="auto"/>
        <w:ind w:firstLine="420" w:firstLineChars="200"/>
        <w:rPr>
          <w:rFonts w:ascii="宋体" w:hAnsi="宋体"/>
          <w:szCs w:val="21"/>
        </w:rPr>
      </w:pPr>
      <w:r>
        <w:rPr>
          <w:rFonts w:hint="eastAsia" w:ascii="宋体" w:hAnsi="宋体"/>
          <w:szCs w:val="21"/>
        </w:rPr>
        <w:t>从行业需求来看，本季度67.37%的用人需求集中在制造业，其次为</w:t>
      </w:r>
      <w:r>
        <w:rPr>
          <w:rFonts w:hint="eastAsia" w:ascii="宋体" w:hAnsi="宋体" w:cs="宋体"/>
          <w:kern w:val="0"/>
          <w:szCs w:val="21"/>
        </w:rPr>
        <w:t>信息传输、计算机服务和软件业</w:t>
      </w:r>
      <w:r>
        <w:rPr>
          <w:rFonts w:hint="eastAsia" w:ascii="宋体" w:hAnsi="宋体"/>
          <w:szCs w:val="21"/>
        </w:rPr>
        <w:t>，占总需求的9.56%，再次为</w:t>
      </w:r>
      <w:r>
        <w:rPr>
          <w:rFonts w:hint="eastAsia" w:ascii="宋体" w:hAnsi="宋体" w:cs="宋体"/>
          <w:kern w:val="0"/>
          <w:szCs w:val="21"/>
        </w:rPr>
        <w:t>批发和零售业</w:t>
      </w:r>
      <w:r>
        <w:rPr>
          <w:rFonts w:hint="eastAsia" w:ascii="宋体" w:hAnsi="宋体"/>
          <w:szCs w:val="21"/>
        </w:rPr>
        <w:t>，占总需求的5.51%。</w:t>
      </w:r>
    </w:p>
    <w:p>
      <w:pPr>
        <w:adjustRightInd w:val="0"/>
        <w:snapToGrid w:val="0"/>
        <w:spacing w:line="360" w:lineRule="auto"/>
        <w:jc w:val="center"/>
        <w:rPr>
          <w:rFonts w:ascii="宋体" w:hAnsi="宋体"/>
          <w:szCs w:val="21"/>
        </w:rPr>
      </w:pPr>
      <w:r>
        <w:rPr>
          <w:rFonts w:hint="eastAsia" w:ascii="宋体" w:hAnsi="宋体"/>
          <w:szCs w:val="21"/>
        </w:rPr>
        <w:t>表3</w:t>
      </w:r>
      <w:r>
        <w:rPr>
          <w:rFonts w:ascii="宋体" w:hAnsi="宋体"/>
          <w:szCs w:val="21"/>
        </w:rPr>
        <w:t>. 按行业分组的需求人数</w:t>
      </w:r>
    </w:p>
    <w:tbl>
      <w:tblPr>
        <w:tblStyle w:val="6"/>
        <w:tblW w:w="3560" w:type="pct"/>
        <w:tblCellSpacing w:w="0"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autofit"/>
        <w:tblCellMar>
          <w:top w:w="0" w:type="dxa"/>
          <w:left w:w="0" w:type="dxa"/>
          <w:bottom w:w="0" w:type="dxa"/>
          <w:right w:w="0" w:type="dxa"/>
        </w:tblCellMar>
      </w:tblPr>
      <w:tblGrid>
        <w:gridCol w:w="3472"/>
        <w:gridCol w:w="1269"/>
        <w:gridCol w:w="1223"/>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行业</w:t>
            </w:r>
          </w:p>
        </w:tc>
        <w:tc>
          <w:tcPr>
            <w:tcW w:w="1064" w:type="pct"/>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 (人)</w:t>
            </w:r>
          </w:p>
        </w:tc>
        <w:tc>
          <w:tcPr>
            <w:tcW w:w="1025"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本季度需求所占比</w:t>
            </w:r>
            <w:r>
              <w:rPr>
                <w:rFonts w:hint="eastAsia" w:ascii="宋体" w:hAnsi="宋体" w:cs="宋体"/>
                <w:kern w:val="0"/>
                <w:szCs w:val="21"/>
              </w:rPr>
              <w:br w:type="textWrapping"/>
            </w:r>
            <w:r>
              <w:rPr>
                <w:rFonts w:hint="eastAsia" w:ascii="宋体" w:hAnsi="宋体" w:cs="宋体"/>
                <w:kern w:val="0"/>
                <w:szCs w:val="21"/>
              </w:rPr>
              <w:t>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农、林、牧、渔业</w:t>
            </w:r>
          </w:p>
        </w:tc>
        <w:tc>
          <w:tcPr>
            <w:tcW w:w="1064"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0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采矿业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0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制造业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color w:val="FF0000"/>
                <w:sz w:val="22"/>
                <w:szCs w:val="22"/>
              </w:rPr>
            </w:pPr>
            <w:r>
              <w:rPr>
                <w:rFonts w:hint="eastAsia"/>
                <w:color w:val="FF0000"/>
                <w:sz w:val="22"/>
                <w:szCs w:val="22"/>
              </w:rPr>
              <w:t xml:space="preserve">29276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67.37%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电力、燃气及水的生产和供应业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78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0.18%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建筑业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color w:val="FF0000"/>
                <w:sz w:val="22"/>
                <w:szCs w:val="22"/>
              </w:rPr>
            </w:pPr>
            <w:r>
              <w:rPr>
                <w:rFonts w:hint="eastAsia"/>
                <w:color w:val="FF0000"/>
                <w:sz w:val="22"/>
                <w:szCs w:val="22"/>
              </w:rPr>
              <w:t xml:space="preserve">1035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2.38%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交通运输、仓储和邮政业</w:t>
            </w:r>
          </w:p>
        </w:tc>
        <w:tc>
          <w:tcPr>
            <w:tcW w:w="1064" w:type="pct"/>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361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0.83%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信息传输、计算机服务和软件业</w:t>
            </w:r>
          </w:p>
        </w:tc>
        <w:tc>
          <w:tcPr>
            <w:tcW w:w="1064" w:type="pct"/>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color w:val="FF0000"/>
                <w:sz w:val="22"/>
                <w:szCs w:val="22"/>
              </w:rPr>
            </w:pPr>
            <w:r>
              <w:rPr>
                <w:rFonts w:hint="eastAsia"/>
                <w:color w:val="FF0000"/>
                <w:sz w:val="22"/>
                <w:szCs w:val="22"/>
              </w:rPr>
              <w:t xml:space="preserve">4154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9.56%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批发和零售业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color w:val="FF0000"/>
                <w:sz w:val="22"/>
                <w:szCs w:val="22"/>
              </w:rPr>
            </w:pPr>
            <w:r>
              <w:rPr>
                <w:rFonts w:hint="eastAsia"/>
                <w:color w:val="FF0000"/>
                <w:sz w:val="22"/>
                <w:szCs w:val="22"/>
              </w:rPr>
              <w:t xml:space="preserve">2396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5.51%</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住宿和餐饮业</w:t>
            </w:r>
          </w:p>
        </w:tc>
        <w:tc>
          <w:tcPr>
            <w:tcW w:w="1064" w:type="pct"/>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color w:val="FF0000"/>
                <w:sz w:val="22"/>
                <w:szCs w:val="22"/>
              </w:rPr>
            </w:pPr>
            <w:r>
              <w:rPr>
                <w:rFonts w:hint="eastAsia"/>
                <w:color w:val="FF0000"/>
                <w:sz w:val="22"/>
                <w:szCs w:val="22"/>
              </w:rPr>
              <w:t xml:space="preserve">1687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3.88%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金融业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212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0.49%</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房地产业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186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0.43%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租赁和商务服务业</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187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0.43%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科学研究、技术服务和地质勘查业</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76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0.17%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水利、环境和公共设施管理业</w:t>
            </w:r>
          </w:p>
        </w:tc>
        <w:tc>
          <w:tcPr>
            <w:tcW w:w="1064"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28 </w:t>
            </w:r>
          </w:p>
        </w:tc>
        <w:tc>
          <w:tcPr>
            <w:tcW w:w="1025"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0.06%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居民服务和其他服务业</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color w:val="FF0000"/>
                <w:sz w:val="22"/>
                <w:szCs w:val="22"/>
              </w:rPr>
            </w:pPr>
            <w:r>
              <w:rPr>
                <w:rFonts w:hint="eastAsia"/>
                <w:color w:val="FF0000"/>
                <w:sz w:val="22"/>
                <w:szCs w:val="22"/>
              </w:rPr>
              <w:t xml:space="preserve">2399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5.52%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教育</w:t>
            </w:r>
          </w:p>
        </w:tc>
        <w:tc>
          <w:tcPr>
            <w:tcW w:w="1064"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589 </w:t>
            </w:r>
          </w:p>
        </w:tc>
        <w:tc>
          <w:tcPr>
            <w:tcW w:w="1025"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1.36%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卫生、社会保障和社会福利业</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507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1.17%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文化、体育和娱乐业</w:t>
            </w:r>
          </w:p>
        </w:tc>
        <w:tc>
          <w:tcPr>
            <w:tcW w:w="1064"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185 </w:t>
            </w:r>
          </w:p>
        </w:tc>
        <w:tc>
          <w:tcPr>
            <w:tcW w:w="1025"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0.43%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公共管理与社会组织</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98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0.23%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国际组织</w:t>
            </w:r>
          </w:p>
        </w:tc>
        <w:tc>
          <w:tcPr>
            <w:tcW w:w="1064"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0 </w:t>
            </w:r>
          </w:p>
        </w:tc>
        <w:tc>
          <w:tcPr>
            <w:tcW w:w="1025" w:type="pct"/>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2911" w:type="pct"/>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064"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 xml:space="preserve">43454 </w:t>
            </w:r>
          </w:p>
        </w:tc>
        <w:tc>
          <w:tcPr>
            <w:tcW w:w="1025"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2"/>
                <w:szCs w:val="22"/>
              </w:rPr>
            </w:pPr>
            <w:r>
              <w:rPr>
                <w:rFonts w:hint="eastAsia"/>
                <w:sz w:val="22"/>
                <w:szCs w:val="22"/>
              </w:rPr>
              <w:t>100.00%</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（三）</w:t>
      </w:r>
      <w:r>
        <w:rPr>
          <w:rFonts w:ascii="宋体" w:hAnsi="宋体"/>
          <w:b/>
          <w:szCs w:val="21"/>
        </w:rPr>
        <w:t>、用人单位需求情况</w:t>
      </w:r>
    </w:p>
    <w:p>
      <w:pPr>
        <w:adjustRightInd w:val="0"/>
        <w:snapToGrid w:val="0"/>
        <w:spacing w:line="360" w:lineRule="auto"/>
        <w:ind w:firstLine="420" w:firstLineChars="200"/>
        <w:rPr>
          <w:rFonts w:ascii="宋体" w:hAnsi="宋体"/>
          <w:color w:val="FF0000"/>
          <w:szCs w:val="21"/>
        </w:rPr>
      </w:pPr>
      <w:r>
        <w:rPr>
          <w:rFonts w:hint="eastAsia" w:ascii="宋体" w:hAnsi="Verdana" w:cs="宋体"/>
          <w:kern w:val="0"/>
          <w:szCs w:val="21"/>
        </w:rPr>
        <w:t>按不同的经济类型单位需求情况看，本季度企业需求人数为43454人。企业中需求人数所占比重最多的是内资企业，共40553人，占企业总数的93.32%，内资企业中用工需求主要集中在有限责任公司、私营企业、股份有限公司。</w:t>
      </w:r>
    </w:p>
    <w:p>
      <w:pPr>
        <w:widowControl/>
        <w:adjustRightInd w:val="0"/>
        <w:snapToGrid w:val="0"/>
        <w:spacing w:beforeAutospacing="1" w:afterAutospacing="1" w:line="360" w:lineRule="auto"/>
        <w:jc w:val="center"/>
        <w:rPr>
          <w:rFonts w:ascii="宋体" w:hAnsi="宋体" w:cs="宋体"/>
          <w:kern w:val="0"/>
          <w:sz w:val="22"/>
          <w:szCs w:val="22"/>
        </w:rPr>
      </w:pPr>
      <w:r>
        <w:rPr>
          <w:rFonts w:hint="eastAsia" w:ascii="宋体" w:hAnsi="宋体" w:cs="宋体"/>
          <w:kern w:val="0"/>
          <w:sz w:val="22"/>
          <w:szCs w:val="22"/>
        </w:rPr>
        <w:t>表4. 按经济类型分组的需求人数</w:t>
      </w:r>
    </w:p>
    <w:tbl>
      <w:tblPr>
        <w:tblStyle w:val="6"/>
        <w:tblW w:w="3357" w:type="pct"/>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autofit"/>
        <w:tblCellMar>
          <w:top w:w="0" w:type="dxa"/>
          <w:left w:w="0" w:type="dxa"/>
          <w:bottom w:w="0" w:type="dxa"/>
          <w:right w:w="0" w:type="dxa"/>
        </w:tblCellMar>
      </w:tblPr>
      <w:tblGrid>
        <w:gridCol w:w="2560"/>
        <w:gridCol w:w="1448"/>
        <w:gridCol w:w="1616"/>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经济类型</w:t>
            </w:r>
          </w:p>
        </w:tc>
        <w:tc>
          <w:tcPr>
            <w:tcW w:w="128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szCs w:val="21"/>
              </w:rPr>
            </w:pPr>
            <w:r>
              <w:rPr>
                <w:rFonts w:hint="eastAsia"/>
                <w:szCs w:val="21"/>
              </w:rPr>
              <w:t>本季度</w:t>
            </w:r>
          </w:p>
          <w:p>
            <w:pPr>
              <w:spacing w:line="360" w:lineRule="auto"/>
              <w:jc w:val="center"/>
              <w:rPr>
                <w:rFonts w:ascii="宋体" w:hAnsi="宋体" w:cs="宋体"/>
                <w:szCs w:val="21"/>
              </w:rPr>
            </w:pPr>
            <w:r>
              <w:rPr>
                <w:rFonts w:hint="eastAsia"/>
                <w:szCs w:val="21"/>
              </w:rPr>
              <w:t>需求人数 (人)</w:t>
            </w:r>
          </w:p>
        </w:tc>
        <w:tc>
          <w:tcPr>
            <w:tcW w:w="1437" w:type="pct"/>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Cs w:val="21"/>
              </w:rPr>
            </w:pPr>
            <w:r>
              <w:rPr>
                <w:rFonts w:hint="eastAsia"/>
                <w:szCs w:val="21"/>
              </w:rPr>
              <w:t>本季度需求所占比重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bottom"/>
          </w:tcPr>
          <w:p>
            <w:pPr>
              <w:jc w:val="center"/>
              <w:rPr>
                <w:rFonts w:ascii="宋体" w:hAnsi="宋体" w:cs="宋体"/>
                <w:sz w:val="24"/>
              </w:rPr>
            </w:pPr>
            <w:r>
              <w:rPr>
                <w:rFonts w:hint="eastAsia"/>
              </w:rPr>
              <w:t xml:space="preserve">43454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其中：内资企业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40553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93.32%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国有企业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891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2.05%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集体企业</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278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0.64%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股份合作企业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3556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8.18%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联营企业</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798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1.84%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有限责任公司</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17611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40.53%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股份有限公司</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8325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19.16%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私营企业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4493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10.34%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center"/>
              <w:rPr>
                <w:rFonts w:ascii="宋体" w:hAnsi="宋体" w:cs="宋体"/>
                <w:kern w:val="0"/>
                <w:szCs w:val="21"/>
              </w:rPr>
            </w:pPr>
            <w:r>
              <w:rPr>
                <w:rFonts w:hint="eastAsia" w:ascii="宋体" w:hAnsi="宋体" w:cs="宋体"/>
                <w:kern w:val="0"/>
                <w:szCs w:val="22"/>
              </w:rPr>
              <w:t>其它企业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4601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10.59%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      港、澳、台投资企业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1858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4.28%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2"/>
              </w:rPr>
              <w:t>外商投资企业</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580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1.33%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660"/>
              <w:jc w:val="center"/>
              <w:rPr>
                <w:rFonts w:ascii="宋体" w:hAnsi="宋体" w:cs="宋体"/>
                <w:kern w:val="0"/>
                <w:szCs w:val="21"/>
              </w:rPr>
            </w:pPr>
            <w:r>
              <w:rPr>
                <w:rFonts w:hint="eastAsia" w:ascii="宋体" w:hAnsi="宋体" w:cs="宋体"/>
                <w:kern w:val="0"/>
                <w:szCs w:val="22"/>
              </w:rPr>
              <w:t>个体经营</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463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1.07%</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事业</w:t>
            </w:r>
          </w:p>
        </w:tc>
        <w:tc>
          <w:tcPr>
            <w:tcW w:w="128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0 </w:t>
            </w:r>
          </w:p>
        </w:tc>
        <w:tc>
          <w:tcPr>
            <w:tcW w:w="1437" w:type="pct"/>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机关</w:t>
            </w:r>
          </w:p>
        </w:tc>
        <w:tc>
          <w:tcPr>
            <w:tcW w:w="128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0 </w:t>
            </w:r>
          </w:p>
        </w:tc>
        <w:tc>
          <w:tcPr>
            <w:tcW w:w="1437" w:type="pct"/>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其他</w:t>
            </w:r>
          </w:p>
        </w:tc>
        <w:tc>
          <w:tcPr>
            <w:tcW w:w="128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 xml:space="preserve">0 </w:t>
            </w:r>
          </w:p>
        </w:tc>
        <w:tc>
          <w:tcPr>
            <w:tcW w:w="1437" w:type="pct"/>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276" w:type="pct"/>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rPr>
              <w:t>合计</w:t>
            </w:r>
          </w:p>
        </w:tc>
        <w:tc>
          <w:tcPr>
            <w:tcW w:w="1287"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43454</w:t>
            </w:r>
          </w:p>
        </w:tc>
        <w:tc>
          <w:tcPr>
            <w:tcW w:w="1437" w:type="pct"/>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ascii="宋体" w:hAnsi="宋体" w:cs="宋体"/>
                <w:sz w:val="24"/>
              </w:rPr>
            </w:pPr>
            <w:r>
              <w:rPr>
                <w:rFonts w:hint="eastAsia"/>
              </w:rPr>
              <w:t>100.00%</w:t>
            </w:r>
          </w:p>
        </w:tc>
      </w:tr>
    </w:tbl>
    <w:p>
      <w:pPr>
        <w:adjustRightInd w:val="0"/>
        <w:snapToGrid w:val="0"/>
        <w:spacing w:line="360" w:lineRule="auto"/>
        <w:ind w:firstLine="420" w:firstLineChars="200"/>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（四）</w:t>
      </w:r>
      <w:r>
        <w:rPr>
          <w:rFonts w:ascii="宋体" w:hAnsi="宋体"/>
          <w:b/>
          <w:szCs w:val="21"/>
        </w:rPr>
        <w:t>、</w:t>
      </w:r>
      <w:r>
        <w:rPr>
          <w:rFonts w:hint="eastAsia" w:ascii="宋体" w:hAnsi="宋体"/>
          <w:b/>
          <w:szCs w:val="21"/>
        </w:rPr>
        <w:t>按</w:t>
      </w:r>
      <w:r>
        <w:rPr>
          <w:rFonts w:ascii="宋体" w:hAnsi="宋体"/>
          <w:b/>
          <w:szCs w:val="21"/>
        </w:rPr>
        <w:t>职业供求情况分析</w:t>
      </w:r>
    </w:p>
    <w:p>
      <w:pPr>
        <w:adjustRightInd w:val="0"/>
        <w:snapToGrid w:val="0"/>
        <w:spacing w:line="360" w:lineRule="auto"/>
        <w:ind w:firstLine="420"/>
        <w:rPr>
          <w:rFonts w:ascii="宋体" w:hAnsi="宋体"/>
          <w:szCs w:val="21"/>
        </w:rPr>
      </w:pPr>
      <w:r>
        <w:rPr>
          <w:rFonts w:hint="eastAsia" w:ascii="宋体" w:hAnsi="宋体" w:cs="宋体"/>
          <w:kern w:val="0"/>
          <w:szCs w:val="21"/>
        </w:rPr>
        <w:t>从职业供求情况来看，操作工需求和求职人数最多，比重均最大，超过一半，从数量上讲缺口也最大。求人倍率最大的是专业技术人员，其次是商业和服务人员，最小的是其他人员人。这一情况与去年同期及上期供求情况基本相同。</w:t>
      </w:r>
    </w:p>
    <w:p>
      <w:pPr>
        <w:adjustRightInd w:val="0"/>
        <w:snapToGrid w:val="0"/>
        <w:spacing w:line="360" w:lineRule="auto"/>
        <w:jc w:val="center"/>
        <w:rPr>
          <w:rFonts w:ascii="宋体" w:hAnsi="宋体"/>
          <w:szCs w:val="21"/>
        </w:rPr>
      </w:pPr>
      <w:r>
        <w:rPr>
          <w:rFonts w:hint="eastAsia" w:ascii="宋体" w:hAnsi="宋体"/>
          <w:szCs w:val="21"/>
        </w:rPr>
        <w:t xml:space="preserve">表5. </w:t>
      </w:r>
      <w:r>
        <w:rPr>
          <w:rFonts w:ascii="宋体" w:hAnsi="宋体"/>
          <w:szCs w:val="21"/>
        </w:rPr>
        <w:t>按职业分组的供求人数</w:t>
      </w:r>
    </w:p>
    <w:tbl>
      <w:tblPr>
        <w:tblStyle w:val="6"/>
        <w:tblW w:w="4068" w:type="pct"/>
        <w:tblInd w:w="0" w:type="dxa"/>
        <w:tblLayout w:type="autofit"/>
        <w:tblCellMar>
          <w:top w:w="0" w:type="dxa"/>
          <w:left w:w="0" w:type="dxa"/>
          <w:bottom w:w="0" w:type="dxa"/>
          <w:right w:w="0" w:type="dxa"/>
        </w:tblCellMar>
      </w:tblPr>
      <w:tblGrid>
        <w:gridCol w:w="2092"/>
        <w:gridCol w:w="862"/>
        <w:gridCol w:w="1005"/>
        <w:gridCol w:w="862"/>
        <w:gridCol w:w="1005"/>
        <w:gridCol w:w="1107"/>
      </w:tblGrid>
      <w:tr>
        <w:tblPrEx>
          <w:tblCellMar>
            <w:top w:w="0" w:type="dxa"/>
            <w:left w:w="0" w:type="dxa"/>
            <w:bottom w:w="0" w:type="dxa"/>
            <w:right w:w="0" w:type="dxa"/>
          </w:tblCellMar>
        </w:tblPrEx>
        <w:trPr>
          <w:cantSplit/>
          <w:trHeight w:val="397" w:hRule="atLeast"/>
        </w:trPr>
        <w:tc>
          <w:tcPr>
            <w:tcW w:w="1525" w:type="pct"/>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1"/>
              </w:rPr>
              <w:t>职业类别</w:t>
            </w:r>
          </w:p>
        </w:tc>
        <w:tc>
          <w:tcPr>
            <w:tcW w:w="3475"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1"/>
              </w:rPr>
              <w:t>劳动力供求人数比较</w:t>
            </w:r>
          </w:p>
        </w:tc>
      </w:tr>
      <w:tr>
        <w:tblPrEx>
          <w:tblCellMar>
            <w:top w:w="0" w:type="dxa"/>
            <w:left w:w="0" w:type="dxa"/>
            <w:bottom w:w="0" w:type="dxa"/>
            <w:right w:w="0" w:type="dxa"/>
          </w:tblCellMar>
        </w:tblPrEx>
        <w:trPr>
          <w:cantSplit/>
          <w:trHeight w:val="397" w:hRule="atLeast"/>
        </w:trPr>
        <w:tc>
          <w:tcPr>
            <w:tcW w:w="1525" w:type="pct"/>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Cs w:val="21"/>
              </w:rPr>
            </w:pPr>
          </w:p>
        </w:tc>
        <w:tc>
          <w:tcPr>
            <w:tcW w:w="63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需求人数（人）</w:t>
            </w:r>
          </w:p>
        </w:tc>
        <w:tc>
          <w:tcPr>
            <w:tcW w:w="69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需求比重  （%）</w:t>
            </w:r>
          </w:p>
        </w:tc>
        <w:tc>
          <w:tcPr>
            <w:tcW w:w="63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求职人数  （人）</w:t>
            </w:r>
          </w:p>
        </w:tc>
        <w:tc>
          <w:tcPr>
            <w:tcW w:w="69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求职比重  （%）</w:t>
            </w:r>
          </w:p>
        </w:tc>
        <w:tc>
          <w:tcPr>
            <w:tcW w:w="814"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求人倍率</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单位负责人</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147</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0.34%</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118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0.33%</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1.25 </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专业技术人员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1859</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4.28%</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1479</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4.10%</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1.26 </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办事人员和有关人员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2254</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5.19%</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1886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5.22%</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商业和服务业人员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6482</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14.92%</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5188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14.37%</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1.25 </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18"/>
                <w:szCs w:val="18"/>
              </w:rPr>
            </w:pPr>
            <w:r>
              <w:rPr>
                <w:rFonts w:hint="eastAsia" w:ascii="仿宋_GB2312" w:hAnsi="Verdana" w:cs="宋体"/>
                <w:kern w:val="0"/>
                <w:sz w:val="18"/>
                <w:szCs w:val="18"/>
              </w:rPr>
              <w:t>农林牧渔水利生产人员</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生产运输设备操作工</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29276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67.37%</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24464</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67.76%</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其他</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3436</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7.91%</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2968</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8.22%</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1.16 </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无要求</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r>
      <w:tr>
        <w:tblPrEx>
          <w:tblCellMar>
            <w:top w:w="0" w:type="dxa"/>
            <w:left w:w="0" w:type="dxa"/>
            <w:bottom w:w="0" w:type="dxa"/>
            <w:right w:w="0" w:type="dxa"/>
          </w:tblCellMar>
        </w:tblPrEx>
        <w:trPr>
          <w:trHeight w:val="630" w:hRule="atLeast"/>
        </w:trPr>
        <w:tc>
          <w:tcPr>
            <w:tcW w:w="1525"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合计</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43454</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63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36103</w:t>
            </w:r>
          </w:p>
        </w:tc>
        <w:tc>
          <w:tcPr>
            <w:tcW w:w="692"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814" w:type="pct"/>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bl>
    <w:p>
      <w:pPr>
        <w:adjustRightInd w:val="0"/>
        <w:snapToGrid w:val="0"/>
        <w:spacing w:line="360" w:lineRule="auto"/>
        <w:jc w:val="center"/>
        <w:rPr>
          <w:rFonts w:ascii="宋体" w:hAnsi="宋体"/>
          <w:color w:val="FF0000"/>
          <w:szCs w:val="21"/>
        </w:rPr>
      </w:pPr>
    </w:p>
    <w:tbl>
      <w:tblPr>
        <w:tblStyle w:val="6"/>
        <w:tblW w:w="9673" w:type="dxa"/>
        <w:tblInd w:w="93" w:type="dxa"/>
        <w:tblLayout w:type="autofit"/>
        <w:tblCellMar>
          <w:top w:w="0" w:type="dxa"/>
          <w:left w:w="108" w:type="dxa"/>
          <w:bottom w:w="0" w:type="dxa"/>
          <w:right w:w="108" w:type="dxa"/>
        </w:tblCellMar>
      </w:tblPr>
      <w:tblGrid>
        <w:gridCol w:w="9673"/>
      </w:tblGrid>
      <w:tr>
        <w:tblPrEx>
          <w:tblCellMar>
            <w:top w:w="0" w:type="dxa"/>
            <w:left w:w="108" w:type="dxa"/>
            <w:bottom w:w="0" w:type="dxa"/>
            <w:right w:w="108" w:type="dxa"/>
          </w:tblCellMar>
        </w:tblPrEx>
        <w:trPr>
          <w:trHeight w:val="855" w:hRule="atLeast"/>
        </w:trPr>
        <w:tc>
          <w:tcPr>
            <w:tcW w:w="9673"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Cs w:val="21"/>
              </w:rPr>
            </w:pPr>
            <w:r>
              <w:rPr>
                <w:rFonts w:hint="eastAsia" w:ascii="宋体" w:hAnsi="宋体"/>
                <w:szCs w:val="21"/>
              </w:rPr>
              <w:t>表6 需求大于求职缺口最大的前十个职业</w:t>
            </w:r>
          </w:p>
          <w:p>
            <w:pPr>
              <w:widowControl/>
              <w:spacing w:line="360" w:lineRule="auto"/>
              <w:ind w:right="252" w:rightChars="120"/>
              <w:jc w:val="center"/>
              <w:rPr>
                <w:rFonts w:ascii="宋体" w:hAnsi="宋体"/>
                <w:color w:val="FF0000"/>
                <w:szCs w:val="21"/>
              </w:rPr>
            </w:pPr>
          </w:p>
          <w:tbl>
            <w:tblPr>
              <w:tblStyle w:val="6"/>
              <w:tblW w:w="9447" w:type="dxa"/>
              <w:tblInd w:w="0" w:type="dxa"/>
              <w:tblLayout w:type="autofit"/>
              <w:tblCellMar>
                <w:top w:w="0" w:type="dxa"/>
                <w:left w:w="108" w:type="dxa"/>
                <w:bottom w:w="0" w:type="dxa"/>
                <w:right w:w="108" w:type="dxa"/>
              </w:tblCellMar>
            </w:tblPr>
            <w:tblGrid>
              <w:gridCol w:w="458"/>
              <w:gridCol w:w="1996"/>
              <w:gridCol w:w="1593"/>
              <w:gridCol w:w="1620"/>
              <w:gridCol w:w="1440"/>
              <w:gridCol w:w="1080"/>
              <w:gridCol w:w="1260"/>
            </w:tblGrid>
            <w:tr>
              <w:tblPrEx>
                <w:tblCellMar>
                  <w:top w:w="0" w:type="dxa"/>
                  <w:left w:w="108" w:type="dxa"/>
                  <w:bottom w:w="0" w:type="dxa"/>
                  <w:right w:w="108" w:type="dxa"/>
                </w:tblCellMar>
              </w:tblPrEx>
              <w:trPr>
                <w:trHeight w:val="402" w:hRule="atLeast"/>
              </w:trPr>
              <w:tc>
                <w:tcPr>
                  <w:tcW w:w="2454"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5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00"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tblCellMar>
                  <w:top w:w="0" w:type="dxa"/>
                  <w:left w:w="108" w:type="dxa"/>
                  <w:bottom w:w="0" w:type="dxa"/>
                  <w:right w:w="108" w:type="dxa"/>
                </w:tblCellMar>
              </w:tblPrEx>
              <w:trPr>
                <w:trHeight w:val="402" w:hRule="atLeast"/>
              </w:trPr>
              <w:tc>
                <w:tcPr>
                  <w:tcW w:w="245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5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620"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40"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80"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260"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冲压工</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6-18-01-12</w:t>
                  </w:r>
                </w:p>
              </w:tc>
              <w:tc>
                <w:tcPr>
                  <w:tcW w:w="162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720</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549</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171</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1.31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纺纱人员</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6-04-02</w:t>
                  </w:r>
                </w:p>
              </w:tc>
              <w:tc>
                <w:tcPr>
                  <w:tcW w:w="162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649</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501</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148</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1.30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缝纫工</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2"/>
                      <w:szCs w:val="22"/>
                    </w:rPr>
                  </w:pPr>
                  <w:r>
                    <w:rPr>
                      <w:rFonts w:hint="eastAsia"/>
                      <w:color w:val="000000"/>
                      <w:sz w:val="22"/>
                      <w:szCs w:val="22"/>
                    </w:rPr>
                    <w:t>6-05-01-03</w:t>
                  </w:r>
                </w:p>
              </w:tc>
              <w:tc>
                <w:tcPr>
                  <w:tcW w:w="162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467</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358</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109</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1.30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车工</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6-18-01-01</w:t>
                  </w:r>
                </w:p>
              </w:tc>
              <w:tc>
                <w:tcPr>
                  <w:tcW w:w="1620" w:type="dxa"/>
                  <w:tcBorders>
                    <w:top w:val="nil"/>
                    <w:left w:val="nil"/>
                    <w:bottom w:val="nil"/>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403</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311</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92</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1.30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焊工</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color w:val="000000"/>
                      <w:sz w:val="22"/>
                      <w:szCs w:val="22"/>
                    </w:rPr>
                  </w:pPr>
                  <w:r>
                    <w:rPr>
                      <w:rFonts w:hint="eastAsia"/>
                      <w:color w:val="000000"/>
                      <w:sz w:val="22"/>
                      <w:szCs w:val="22"/>
                    </w:rPr>
                    <w:t>6-18-02-04</w:t>
                  </w:r>
                </w:p>
              </w:tc>
              <w:tc>
                <w:tcPr>
                  <w:tcW w:w="162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365</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287</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78</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1.27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包装工</w:t>
                  </w:r>
                </w:p>
              </w:tc>
              <w:tc>
                <w:tcPr>
                  <w:tcW w:w="1593" w:type="dxa"/>
                  <w:tcBorders>
                    <w:top w:val="nil"/>
                    <w:left w:val="nil"/>
                    <w:bottom w:val="nil"/>
                    <w:right w:val="nil"/>
                  </w:tcBorders>
                  <w:shd w:val="clear" w:color="auto" w:fill="auto"/>
                  <w:noWrap/>
                  <w:vAlign w:val="center"/>
                </w:tcPr>
                <w:p>
                  <w:pPr>
                    <w:jc w:val="center"/>
                    <w:rPr>
                      <w:rFonts w:ascii="宋体" w:hAnsi="宋体" w:cs="宋体"/>
                      <w:sz w:val="22"/>
                      <w:szCs w:val="22"/>
                    </w:rPr>
                  </w:pPr>
                  <w:r>
                    <w:rPr>
                      <w:rFonts w:hint="eastAsia"/>
                      <w:sz w:val="22"/>
                      <w:szCs w:val="22"/>
                    </w:rPr>
                    <w:t>6-31-05-00</w:t>
                  </w:r>
                </w:p>
              </w:tc>
              <w:tc>
                <w:tcPr>
                  <w:tcW w:w="1620" w:type="dxa"/>
                  <w:tcBorders>
                    <w:top w:val="nil"/>
                    <w:left w:val="single" w:color="auto" w:sz="4" w:space="0"/>
                    <w:bottom w:val="nil"/>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343</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276</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67</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1.24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印花工</w:t>
                  </w:r>
                </w:p>
              </w:tc>
              <w:tc>
                <w:tcPr>
                  <w:tcW w:w="159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color w:val="000000"/>
                      <w:sz w:val="22"/>
                      <w:szCs w:val="22"/>
                    </w:rPr>
                  </w:pPr>
                  <w:r>
                    <w:rPr>
                      <w:rFonts w:hint="eastAsia"/>
                      <w:color w:val="000000"/>
                      <w:sz w:val="22"/>
                      <w:szCs w:val="22"/>
                    </w:rPr>
                    <w:t>6-04-06-03</w:t>
                  </w:r>
                </w:p>
              </w:tc>
              <w:tc>
                <w:tcPr>
                  <w:tcW w:w="1620"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328</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267</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61</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1.23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钳工</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2-06-03-00</w:t>
                  </w:r>
                </w:p>
              </w:tc>
              <w:tc>
                <w:tcPr>
                  <w:tcW w:w="162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323</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265</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58</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1.22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商品营业员</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4-01-02-03</w:t>
                  </w:r>
                </w:p>
              </w:tc>
              <w:tc>
                <w:tcPr>
                  <w:tcW w:w="162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318</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259</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59</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1.23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199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营销员</w:t>
                  </w:r>
                </w:p>
              </w:tc>
              <w:tc>
                <w:tcPr>
                  <w:tcW w:w="159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4-01-02-01</w:t>
                  </w:r>
                </w:p>
              </w:tc>
              <w:tc>
                <w:tcPr>
                  <w:tcW w:w="162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225</w:t>
                  </w:r>
                </w:p>
              </w:tc>
              <w:tc>
                <w:tcPr>
                  <w:tcW w:w="144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185</w:t>
                  </w:r>
                </w:p>
              </w:tc>
              <w:tc>
                <w:tcPr>
                  <w:tcW w:w="108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w:t>
                  </w:r>
                </w:p>
              </w:tc>
              <w:tc>
                <w:tcPr>
                  <w:tcW w:w="1260"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1.22 </w:t>
                  </w:r>
                </w:p>
              </w:tc>
            </w:tr>
          </w:tbl>
          <w:p>
            <w:pPr>
              <w:widowControl/>
              <w:spacing w:line="360" w:lineRule="auto"/>
              <w:ind w:right="252" w:rightChars="120"/>
              <w:jc w:val="center"/>
              <w:rPr>
                <w:rFonts w:ascii="宋体" w:hAnsi="宋体" w:cs="宋体"/>
                <w:b/>
                <w:bCs/>
                <w:color w:val="FF0000"/>
                <w:kern w:val="0"/>
                <w:sz w:val="30"/>
                <w:szCs w:val="30"/>
              </w:rPr>
            </w:pPr>
          </w:p>
        </w:tc>
      </w:tr>
    </w:tbl>
    <w:p>
      <w:pPr>
        <w:widowControl/>
        <w:spacing w:before="100" w:beforeAutospacing="1" w:after="100" w:afterAutospacing="1" w:line="360" w:lineRule="auto"/>
        <w:ind w:firstLine="420" w:firstLineChars="200"/>
        <w:jc w:val="left"/>
        <w:rPr>
          <w:rFonts w:ascii="宋体" w:hAnsi="宋体" w:cs="宋体"/>
          <w:kern w:val="0"/>
          <w:szCs w:val="21"/>
        </w:rPr>
      </w:pPr>
      <w:r>
        <w:rPr>
          <w:rFonts w:hint="eastAsia" w:ascii="宋体" w:hAnsi="宋体" w:cs="宋体"/>
          <w:kern w:val="0"/>
          <w:szCs w:val="21"/>
        </w:rPr>
        <w:t>从表6反映出，本季度需求缺口排名前三位的是：冲压工、纺纱人员、</w:t>
      </w:r>
      <w:r>
        <w:rPr>
          <w:rFonts w:hint="eastAsia" w:ascii="宋体" w:hAnsi="宋体" w:cs="宋体"/>
          <w:kern w:val="0"/>
          <w:sz w:val="24"/>
        </w:rPr>
        <w:t>缝纫工</w:t>
      </w:r>
      <w:r>
        <w:rPr>
          <w:rFonts w:hint="eastAsia" w:ascii="宋体" w:hAnsi="宋体" w:cs="宋体"/>
          <w:kern w:val="0"/>
          <w:szCs w:val="21"/>
        </w:rPr>
        <w:t>，与去年同期及上期情况基本一致，说明这些工种需求量较大，亦与我市产业结构的分布吻合，操作工、裁剪缝纫工、纺纱人员、车工、营销人员等工种依旧占我市人力资源市场需求的主体位置。</w:t>
      </w:r>
    </w:p>
    <w:p>
      <w:pPr>
        <w:widowControl/>
        <w:spacing w:before="100" w:beforeAutospacing="1" w:after="100" w:afterAutospacing="1" w:line="360" w:lineRule="auto"/>
        <w:ind w:firstLine="420" w:firstLineChars="200"/>
        <w:jc w:val="left"/>
        <w:rPr>
          <w:rFonts w:ascii="宋体" w:hAnsi="宋体" w:cs="宋体"/>
          <w:kern w:val="0"/>
          <w:szCs w:val="21"/>
        </w:rPr>
      </w:pPr>
    </w:p>
    <w:p>
      <w:pPr>
        <w:adjustRightInd w:val="0"/>
        <w:snapToGrid w:val="0"/>
        <w:spacing w:line="360" w:lineRule="auto"/>
        <w:jc w:val="center"/>
        <w:rPr>
          <w:rFonts w:ascii="宋体" w:hAnsi="宋体"/>
          <w:szCs w:val="21"/>
        </w:rPr>
      </w:pPr>
      <w:r>
        <w:rPr>
          <w:rFonts w:hint="eastAsia" w:ascii="宋体" w:hAnsi="宋体"/>
          <w:szCs w:val="21"/>
        </w:rPr>
        <w:t>表</w:t>
      </w:r>
      <w:r>
        <w:rPr>
          <w:rFonts w:ascii="宋体" w:hAnsi="宋体"/>
          <w:szCs w:val="21"/>
        </w:rPr>
        <w:t>7</w:t>
      </w:r>
      <w:r>
        <w:rPr>
          <w:rFonts w:hint="eastAsia" w:ascii="宋体" w:hAnsi="宋体"/>
          <w:szCs w:val="21"/>
        </w:rPr>
        <w:t>：需求小于求职缺口最大的十个职业</w:t>
      </w:r>
    </w:p>
    <w:tbl>
      <w:tblPr>
        <w:tblStyle w:val="6"/>
        <w:tblW w:w="9555" w:type="dxa"/>
        <w:tblInd w:w="93" w:type="dxa"/>
        <w:tblLayout w:type="autofit"/>
        <w:tblCellMar>
          <w:top w:w="0" w:type="dxa"/>
          <w:left w:w="108" w:type="dxa"/>
          <w:bottom w:w="0" w:type="dxa"/>
          <w:right w:w="108" w:type="dxa"/>
        </w:tblCellMar>
      </w:tblPr>
      <w:tblGrid>
        <w:gridCol w:w="458"/>
        <w:gridCol w:w="2199"/>
        <w:gridCol w:w="1487"/>
        <w:gridCol w:w="1487"/>
        <w:gridCol w:w="1487"/>
        <w:gridCol w:w="1126"/>
        <w:gridCol w:w="1311"/>
      </w:tblGrid>
      <w:tr>
        <w:tblPrEx>
          <w:tblCellMar>
            <w:top w:w="0" w:type="dxa"/>
            <w:left w:w="108" w:type="dxa"/>
            <w:bottom w:w="0" w:type="dxa"/>
            <w:right w:w="108" w:type="dxa"/>
          </w:tblCellMar>
        </w:tblPrEx>
        <w:trPr>
          <w:trHeight w:val="402" w:hRule="atLeast"/>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tblCellMar>
            <w:top w:w="0" w:type="dxa"/>
            <w:left w:w="108" w:type="dxa"/>
            <w:bottom w:w="0" w:type="dxa"/>
            <w:right w:w="108" w:type="dxa"/>
          </w:tblCellMar>
        </w:tblPrEx>
        <w:trPr>
          <w:trHeight w:val="390" w:hRule="atLeast"/>
        </w:trPr>
        <w:tc>
          <w:tcPr>
            <w:tcW w:w="265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会计专业人员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2-06-03</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169</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215</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-46</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0.79 </w:t>
            </w:r>
          </w:p>
        </w:tc>
      </w:tr>
      <w:tr>
        <w:tblPrEx>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办事人员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3-01</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148</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197</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-49</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0.75 </w:t>
            </w:r>
          </w:p>
        </w:tc>
      </w:tr>
      <w:tr>
        <w:tblPrEx>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人力资源管理专业人员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2-06-08-01</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110</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148</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-38</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0.74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行政办公人员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3-01-01-01</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76</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115</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-39</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0.66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仓储管理员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4-02-06-01</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55</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97</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-42</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0.57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道路客运汽车驾驶员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4-02-02-01</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36</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75</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-39</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0.48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后勤管理员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3-01-02-08</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24</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67</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-43</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0.36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收银员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4-01-02-04</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22</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58</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-36</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0.38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计算机网络工程技术人员</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2-02-10-04</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12</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31</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-19</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0.39 </w:t>
            </w:r>
          </w:p>
        </w:tc>
      </w:tr>
      <w:tr>
        <w:tblPrEx>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秘书</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3-01-02-02</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13</w:t>
            </w:r>
          </w:p>
        </w:tc>
        <w:tc>
          <w:tcPr>
            <w:tcW w:w="1487"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38</w:t>
            </w:r>
          </w:p>
        </w:tc>
        <w:tc>
          <w:tcPr>
            <w:tcW w:w="112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-25</w:t>
            </w:r>
          </w:p>
        </w:tc>
        <w:tc>
          <w:tcPr>
            <w:tcW w:w="1311"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22"/>
                <w:szCs w:val="22"/>
              </w:rPr>
            </w:pPr>
            <w:r>
              <w:rPr>
                <w:rFonts w:hint="eastAsia"/>
                <w:sz w:val="22"/>
                <w:szCs w:val="22"/>
              </w:rPr>
              <w:t xml:space="preserve">0.34 </w:t>
            </w:r>
          </w:p>
        </w:tc>
      </w:tr>
    </w:tbl>
    <w:p>
      <w:pPr>
        <w:adjustRightInd w:val="0"/>
        <w:snapToGrid w:val="0"/>
        <w:spacing w:line="360" w:lineRule="auto"/>
        <w:jc w:val="center"/>
        <w:rPr>
          <w:rFonts w:ascii="宋体" w:hAnsi="宋体"/>
          <w:szCs w:val="21"/>
        </w:rPr>
      </w:pPr>
    </w:p>
    <w:p>
      <w:pPr>
        <w:adjustRightInd w:val="0"/>
        <w:snapToGrid w:val="0"/>
        <w:spacing w:line="360" w:lineRule="auto"/>
        <w:ind w:firstLine="420" w:firstLineChars="200"/>
        <w:rPr>
          <w:rFonts w:ascii="宋体" w:hAnsi="宋体"/>
          <w:szCs w:val="21"/>
        </w:rPr>
      </w:pPr>
      <w:r>
        <w:rPr>
          <w:rFonts w:hint="eastAsia" w:ascii="宋体" w:hAnsi="宋体" w:cs="宋体"/>
          <w:kern w:val="0"/>
          <w:szCs w:val="21"/>
        </w:rPr>
        <w:t>从表7反映出，会计、办事员、人事管理等在我市的需求量较小，这种职业流动性小，工作环境较好，稳定又比较体面，所以求职人数略微大于需求人数。总体上说，这些岗位的需求和求职都较小。</w:t>
      </w:r>
    </w:p>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（五）</w:t>
      </w:r>
      <w:r>
        <w:rPr>
          <w:rFonts w:ascii="宋体" w:hAnsi="宋体"/>
          <w:b/>
          <w:szCs w:val="21"/>
        </w:rPr>
        <w:t>、求职人员分类</w:t>
      </w:r>
    </w:p>
    <w:p>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根据求职人员类别分析，本季度中列前三位的求职者分别是外埠人员30.18%，本市农村人员21.86%，</w:t>
      </w:r>
      <w:r>
        <w:rPr>
          <w:rFonts w:hint="eastAsia" w:ascii="仿宋_GB2312" w:hAnsi="Verdana" w:cs="宋体"/>
          <w:kern w:val="0"/>
          <w:szCs w:val="22"/>
        </w:rPr>
        <w:t>高校毕业生</w:t>
      </w:r>
      <w:r>
        <w:rPr>
          <w:rFonts w:hint="eastAsia" w:ascii="宋体" w:hAnsi="宋体" w:cs="宋体"/>
          <w:kern w:val="0"/>
          <w:szCs w:val="21"/>
        </w:rPr>
        <w:t>17.60%。本季度正值毕业季，高校毕业生求职人数比上半年明显增加，于去年同期相比没有大的变动。</w:t>
      </w:r>
    </w:p>
    <w:p>
      <w:pPr>
        <w:adjustRightInd w:val="0"/>
        <w:snapToGrid w:val="0"/>
        <w:spacing w:line="360" w:lineRule="auto"/>
        <w:jc w:val="center"/>
        <w:rPr>
          <w:rFonts w:ascii="宋体" w:hAnsi="宋体"/>
          <w:szCs w:val="21"/>
        </w:rPr>
      </w:pPr>
      <w:r>
        <w:rPr>
          <w:rFonts w:hint="eastAsia" w:ascii="宋体" w:hAnsi="宋体"/>
          <w:szCs w:val="21"/>
        </w:rPr>
        <w:t xml:space="preserve">表8 </w:t>
      </w:r>
      <w:r>
        <w:rPr>
          <w:rFonts w:ascii="宋体" w:hAnsi="宋体"/>
          <w:szCs w:val="21"/>
        </w:rPr>
        <w:t>按求职人员类别分组的求职人数</w:t>
      </w:r>
    </w:p>
    <w:tbl>
      <w:tblPr>
        <w:tblStyle w:val="6"/>
        <w:tblW w:w="3452" w:type="pct"/>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2190"/>
        <w:gridCol w:w="1796"/>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求职人员类别</w:t>
            </w:r>
          </w:p>
        </w:tc>
        <w:tc>
          <w:tcPr>
            <w:tcW w:w="179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Cs w:val="21"/>
              </w:rPr>
            </w:pPr>
            <w:r>
              <w:rPr>
                <w:rFonts w:hint="eastAsia" w:ascii="宋体" w:hAnsi="宋体" w:cs="宋体"/>
                <w:kern w:val="0"/>
                <w:szCs w:val="21"/>
              </w:rPr>
              <w:t>本季度</w:t>
            </w:r>
          </w:p>
          <w:p>
            <w:pPr>
              <w:widowControl/>
              <w:spacing w:line="360" w:lineRule="auto"/>
              <w:jc w:val="center"/>
              <w:rPr>
                <w:rFonts w:ascii="宋体" w:hAnsi="宋体" w:cs="宋体"/>
                <w:kern w:val="0"/>
                <w:szCs w:val="21"/>
              </w:rPr>
            </w:pPr>
            <w:r>
              <w:rPr>
                <w:rFonts w:hint="eastAsia" w:ascii="宋体" w:hAnsi="宋体" w:cs="宋体"/>
                <w:kern w:val="0"/>
                <w:szCs w:val="21"/>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新成长失业青年</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6781</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18.78%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0"/>
              </w:rPr>
              <w:t>其中：应届高校毕业生</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6353</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17.60%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就业转失业人员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5512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15.27%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其他失业人员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4145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11.48%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在业人员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878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2.43%</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下岗职工</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退休人员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在学人员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本市农村人员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7892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21.86%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rPr>
              <w:t>外埠人员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10895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30.18%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Cs w:val="21"/>
              </w:rPr>
            </w:pPr>
            <w:r>
              <w:rPr>
                <w:rFonts w:hint="eastAsia" w:ascii="仿宋_GB2312" w:hAnsi="Verdana" w:cs="宋体"/>
                <w:kern w:val="0"/>
                <w:szCs w:val="22"/>
              </w:rPr>
              <w:t>合计</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36103</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ascii="宋体" w:hAnsi="宋体" w:cs="宋体"/>
                <w:color w:val="000000"/>
                <w:sz w:val="22"/>
                <w:szCs w:val="22"/>
              </w:rPr>
            </w:pPr>
            <w:r>
              <w:rPr>
                <w:rFonts w:hint="eastAsia"/>
                <w:color w:val="000000"/>
                <w:sz w:val="22"/>
                <w:szCs w:val="22"/>
              </w:rPr>
              <w:t>100.00%</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b/>
          <w:szCs w:val="21"/>
        </w:rPr>
      </w:pPr>
      <w:r>
        <w:rPr>
          <w:rFonts w:hint="eastAsia" w:ascii="宋体" w:hAnsi="宋体"/>
          <w:b/>
          <w:szCs w:val="21"/>
        </w:rPr>
        <w:t>（六）</w:t>
      </w:r>
      <w:r>
        <w:rPr>
          <w:rFonts w:ascii="宋体" w:hAnsi="宋体"/>
          <w:b/>
          <w:szCs w:val="21"/>
        </w:rPr>
        <w:t>、招聘、应聘条件分析</w:t>
      </w:r>
    </w:p>
    <w:p>
      <w:pPr>
        <w:adjustRightInd w:val="0"/>
        <w:snapToGrid w:val="0"/>
        <w:spacing w:line="360" w:lineRule="auto"/>
        <w:rPr>
          <w:rFonts w:ascii="宋体" w:hAnsi="宋体"/>
          <w:szCs w:val="21"/>
        </w:rPr>
      </w:pPr>
      <w:r>
        <w:rPr>
          <w:rFonts w:hint="eastAsia" w:ascii="宋体" w:hAnsi="宋体"/>
          <w:szCs w:val="21"/>
        </w:rPr>
        <w:t>1. 性别</w:t>
      </w:r>
    </w:p>
    <w:p>
      <w:pPr>
        <w:widowControl/>
        <w:spacing w:before="100" w:beforeAutospacing="1" w:after="100" w:afterAutospacing="1" w:line="360" w:lineRule="auto"/>
        <w:ind w:firstLine="420" w:firstLineChars="200"/>
        <w:jc w:val="left"/>
        <w:rPr>
          <w:rFonts w:ascii="宋体" w:hAnsi="宋体" w:cs="宋体"/>
          <w:kern w:val="0"/>
          <w:szCs w:val="21"/>
        </w:rPr>
      </w:pPr>
      <w:r>
        <w:rPr>
          <w:rFonts w:hint="eastAsia" w:ascii="宋体" w:hAnsi="宋体" w:cs="宋体"/>
          <w:kern w:val="0"/>
          <w:szCs w:val="21"/>
        </w:rPr>
        <w:t>按性别分类，男女求职比例基本为56：44，求人倍率男性为1.28，女性为1.27,男性需求人数高于女性，与我市劳动力资源性别结构相符。</w:t>
      </w:r>
    </w:p>
    <w:p>
      <w:pPr>
        <w:adjustRightInd w:val="0"/>
        <w:snapToGrid w:val="0"/>
        <w:spacing w:line="360" w:lineRule="auto"/>
        <w:jc w:val="center"/>
        <w:rPr>
          <w:rFonts w:ascii="宋体" w:hAnsi="宋体"/>
          <w:szCs w:val="21"/>
        </w:rPr>
      </w:pPr>
      <w:r>
        <w:rPr>
          <w:rFonts w:hint="eastAsia" w:ascii="宋体" w:hAnsi="宋体"/>
          <w:szCs w:val="21"/>
        </w:rPr>
        <w:t xml:space="preserve">表9 </w:t>
      </w:r>
      <w:r>
        <w:rPr>
          <w:rFonts w:ascii="宋体" w:hAnsi="宋体"/>
          <w:szCs w:val="21"/>
        </w:rPr>
        <w:t>按性别分组的供求人数</w:t>
      </w:r>
    </w:p>
    <w:tbl>
      <w:tblPr>
        <w:tblStyle w:val="6"/>
        <w:tblW w:w="739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1"/>
        <w:gridCol w:w="1224"/>
        <w:gridCol w:w="1080"/>
        <w:gridCol w:w="1260"/>
        <w:gridCol w:w="1260"/>
        <w:gridCol w:w="16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80" w:hRule="atLeast"/>
        </w:trPr>
        <w:tc>
          <w:tcPr>
            <w:tcW w:w="95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性别</w:t>
            </w:r>
          </w:p>
        </w:tc>
        <w:tc>
          <w:tcPr>
            <w:tcW w:w="6444"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0" w:type="auto"/>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Cs w:val="21"/>
              </w:rPr>
            </w:pPr>
          </w:p>
        </w:tc>
        <w:tc>
          <w:tcPr>
            <w:tcW w:w="1224"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126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126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62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男</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14309</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32.93%</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20324</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56.29%</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color w:val="000000"/>
                <w:sz w:val="22"/>
                <w:szCs w:val="22"/>
              </w:rPr>
            </w:pPr>
            <w:r>
              <w:rPr>
                <w:rFonts w:hint="eastAsia"/>
                <w:color w:val="000000"/>
                <w:sz w:val="22"/>
                <w:szCs w:val="22"/>
              </w:rPr>
              <w:t>1.28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女</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10919</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25.13%</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15779</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43.71%</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color w:val="000000"/>
                <w:sz w:val="22"/>
                <w:szCs w:val="22"/>
              </w:rPr>
            </w:pPr>
            <w:r>
              <w:rPr>
                <w:rFonts w:hint="eastAsia"/>
                <w:color w:val="000000"/>
                <w:sz w:val="22"/>
                <w:szCs w:val="22"/>
              </w:rPr>
              <w:t>1.27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18226</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41.94%</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trPr>
        <w:tc>
          <w:tcPr>
            <w:tcW w:w="95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224"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43454</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36103</w:t>
            </w:r>
          </w:p>
        </w:tc>
        <w:tc>
          <w:tcPr>
            <w:tcW w:w="126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162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1.20</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szCs w:val="21"/>
        </w:rPr>
      </w:pPr>
      <w:r>
        <w:rPr>
          <w:rFonts w:hint="eastAsia" w:ascii="宋体" w:hAnsi="宋体"/>
          <w:szCs w:val="21"/>
        </w:rPr>
        <w:t xml:space="preserve">2. </w:t>
      </w:r>
      <w:r>
        <w:rPr>
          <w:rFonts w:ascii="宋体" w:hAnsi="宋体"/>
          <w:szCs w:val="21"/>
        </w:rPr>
        <w:t>年龄</w:t>
      </w:r>
    </w:p>
    <w:p>
      <w:pPr>
        <w:spacing w:line="360" w:lineRule="auto"/>
        <w:ind w:firstLine="420" w:firstLineChars="200"/>
        <w:rPr>
          <w:rFonts w:ascii="宋体" w:hAnsi="宋体" w:cs="宋体"/>
          <w:kern w:val="0"/>
          <w:szCs w:val="21"/>
        </w:rPr>
      </w:pPr>
      <w:r>
        <w:rPr>
          <w:rFonts w:ascii="宋体" w:hAnsi="宋体" w:cs="宋体"/>
          <w:kern w:val="0"/>
          <w:szCs w:val="21"/>
        </w:rPr>
        <w:t>从</w:t>
      </w:r>
      <w:r>
        <w:rPr>
          <w:rFonts w:hint="eastAsia" w:ascii="宋体" w:hAnsi="宋体" w:cs="宋体"/>
          <w:kern w:val="0"/>
          <w:szCs w:val="21"/>
        </w:rPr>
        <w:t>下图</w:t>
      </w:r>
      <w:r>
        <w:rPr>
          <w:rFonts w:ascii="宋体" w:hAnsi="宋体" w:cs="宋体"/>
          <w:kern w:val="0"/>
          <w:szCs w:val="21"/>
        </w:rPr>
        <w:t>可以看出</w:t>
      </w:r>
      <w:r>
        <w:rPr>
          <w:rFonts w:hint="eastAsia" w:ascii="宋体" w:hAnsi="宋体" w:cs="宋体"/>
          <w:kern w:val="0"/>
          <w:szCs w:val="21"/>
        </w:rPr>
        <w:t>，</w:t>
      </w:r>
      <w:r>
        <w:rPr>
          <w:rFonts w:ascii="宋体" w:hAnsi="宋体" w:cs="宋体"/>
          <w:kern w:val="0"/>
          <w:szCs w:val="21"/>
        </w:rPr>
        <w:t>本季度需求人数最多的是</w:t>
      </w:r>
      <w:r>
        <w:rPr>
          <w:rFonts w:hint="eastAsia" w:ascii="宋体" w:hAnsi="宋体" w:cs="宋体"/>
          <w:kern w:val="0"/>
          <w:szCs w:val="21"/>
        </w:rPr>
        <w:t>35-44</w:t>
      </w:r>
      <w:r>
        <w:rPr>
          <w:rFonts w:ascii="宋体" w:hAnsi="宋体" w:cs="宋体"/>
          <w:kern w:val="0"/>
          <w:szCs w:val="21"/>
        </w:rPr>
        <w:t>岁这一年龄段，需求比重</w:t>
      </w:r>
      <w:r>
        <w:rPr>
          <w:rFonts w:hint="eastAsia" w:ascii="宋体" w:hAnsi="宋体" w:cs="宋体"/>
          <w:kern w:val="0"/>
          <w:szCs w:val="21"/>
        </w:rPr>
        <w:t>为30.60</w:t>
      </w:r>
      <w:r>
        <w:rPr>
          <w:rFonts w:ascii="宋体" w:hAnsi="宋体" w:cs="宋体"/>
          <w:kern w:val="0"/>
          <w:szCs w:val="21"/>
        </w:rPr>
        <w:t>%，需求量最少的仍然是45岁以上，需求比重仅为</w:t>
      </w:r>
      <w:r>
        <w:rPr>
          <w:rFonts w:hint="eastAsia" w:ascii="宋体" w:hAnsi="宋体" w:cs="宋体"/>
          <w:kern w:val="0"/>
          <w:szCs w:val="21"/>
        </w:rPr>
        <w:t>1.36</w:t>
      </w:r>
      <w:r>
        <w:rPr>
          <w:rFonts w:ascii="宋体" w:hAnsi="宋体" w:cs="宋体"/>
          <w:kern w:val="0"/>
          <w:szCs w:val="21"/>
        </w:rPr>
        <w:t>%</w:t>
      </w:r>
      <w:r>
        <w:rPr>
          <w:rFonts w:hint="eastAsia" w:ascii="宋体" w:hAnsi="宋体" w:cs="宋体"/>
          <w:kern w:val="0"/>
          <w:szCs w:val="21"/>
        </w:rPr>
        <w:t>。</w:t>
      </w:r>
      <w:r>
        <w:rPr>
          <w:rFonts w:ascii="宋体" w:hAnsi="宋体" w:cs="宋体"/>
          <w:kern w:val="0"/>
          <w:szCs w:val="21"/>
        </w:rPr>
        <w:t>从求职来看，16-24岁和25-34岁的求职人群依旧是求职主体，求职比重分别为</w:t>
      </w:r>
      <w:r>
        <w:rPr>
          <w:rFonts w:hint="eastAsia" w:ascii="宋体" w:hAnsi="宋体" w:cs="宋体"/>
          <w:kern w:val="0"/>
          <w:szCs w:val="21"/>
        </w:rPr>
        <w:t>31.41</w:t>
      </w:r>
      <w:r>
        <w:rPr>
          <w:rFonts w:ascii="宋体" w:hAnsi="宋体" w:cs="宋体"/>
          <w:kern w:val="0"/>
          <w:szCs w:val="21"/>
        </w:rPr>
        <w:t>%和</w:t>
      </w:r>
      <w:r>
        <w:rPr>
          <w:rFonts w:hint="eastAsia" w:ascii="宋体" w:hAnsi="宋体" w:cs="宋体"/>
          <w:kern w:val="0"/>
          <w:szCs w:val="21"/>
        </w:rPr>
        <w:t>33.32</w:t>
      </w:r>
      <w:r>
        <w:rPr>
          <w:rFonts w:ascii="宋体" w:hAnsi="宋体" w:cs="宋体"/>
          <w:kern w:val="0"/>
          <w:szCs w:val="21"/>
        </w:rPr>
        <w:t>%。</w:t>
      </w:r>
    </w:p>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表10. 按年龄分组的供求人数</w:t>
      </w:r>
    </w:p>
    <w:tbl>
      <w:tblPr>
        <w:tblStyle w:val="6"/>
        <w:tblW w:w="5775"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95"/>
        <w:gridCol w:w="900"/>
        <w:gridCol w:w="900"/>
        <w:gridCol w:w="900"/>
        <w:gridCol w:w="900"/>
        <w:gridCol w:w="108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年龄</w:t>
            </w:r>
          </w:p>
        </w:tc>
        <w:tc>
          <w:tcPr>
            <w:tcW w:w="468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trPr>
        <w:tc>
          <w:tcPr>
            <w:tcW w:w="1095"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Cs w:val="21"/>
              </w:rPr>
            </w:pP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16-24岁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12499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28.76%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11341</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31.41%</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color w:val="000000"/>
                <w:sz w:val="22"/>
                <w:szCs w:val="22"/>
              </w:rPr>
            </w:pPr>
            <w:r>
              <w:rPr>
                <w:rFonts w:hint="eastAsia"/>
                <w:color w:val="000000"/>
                <w:sz w:val="22"/>
                <w:szCs w:val="22"/>
              </w:rPr>
              <w:t>1.35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25-34岁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13043</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30.02%</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12031</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33.32%</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color w:val="000000"/>
                <w:sz w:val="22"/>
                <w:szCs w:val="22"/>
              </w:rPr>
            </w:pPr>
            <w:r>
              <w:rPr>
                <w:rFonts w:hint="eastAsia"/>
                <w:color w:val="000000"/>
                <w:sz w:val="22"/>
                <w:szCs w:val="22"/>
              </w:rPr>
              <w:t>1.33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35-44岁</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13297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30.60%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12175</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33.72%</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color w:val="000000"/>
                <w:sz w:val="22"/>
                <w:szCs w:val="22"/>
              </w:rPr>
            </w:pPr>
            <w:r>
              <w:rPr>
                <w:rFonts w:hint="eastAsia"/>
                <w:color w:val="000000"/>
                <w:sz w:val="22"/>
                <w:szCs w:val="22"/>
              </w:rPr>
              <w:t>1.34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45岁以上</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591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1.36%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556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1.54%</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color w:val="000000"/>
                <w:sz w:val="22"/>
                <w:szCs w:val="22"/>
              </w:rPr>
            </w:pPr>
            <w:r>
              <w:rPr>
                <w:rFonts w:hint="eastAsia"/>
                <w:color w:val="000000"/>
                <w:sz w:val="22"/>
                <w:szCs w:val="22"/>
              </w:rPr>
              <w:t>1.31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4024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9.26%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bottom"/>
          </w:tcPr>
          <w:p>
            <w:pPr>
              <w:spacing w:line="360" w:lineRule="auto"/>
              <w:jc w:val="center"/>
              <w:rPr>
                <w:rFonts w:ascii="宋体" w:hAnsi="宋体" w:cs="宋体"/>
                <w:szCs w:val="21"/>
              </w:rPr>
            </w:pPr>
            <w:r>
              <w:rPr>
                <w:rFonts w:hint="eastAsia" w:ascii="宋体" w:hAnsi="宋体" w:cs="宋体"/>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109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43454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36103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108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bottom"/>
          </w:tcPr>
          <w:p>
            <w:pPr>
              <w:spacing w:line="360" w:lineRule="auto"/>
              <w:jc w:val="center"/>
              <w:rPr>
                <w:rFonts w:ascii="宋体" w:hAnsi="宋体" w:cs="宋体"/>
                <w:szCs w:val="21"/>
              </w:rPr>
            </w:pPr>
            <w:r>
              <w:rPr>
                <w:rFonts w:hint="eastAsia" w:ascii="宋体" w:hAnsi="宋体" w:cs="宋体"/>
                <w:szCs w:val="21"/>
              </w:rPr>
              <w:t>1.20</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szCs w:val="21"/>
        </w:rPr>
      </w:pPr>
      <w:r>
        <w:rPr>
          <w:rFonts w:hint="eastAsia" w:ascii="宋体" w:hAnsi="宋体"/>
          <w:szCs w:val="21"/>
        </w:rPr>
        <w:t xml:space="preserve">3. </w:t>
      </w:r>
      <w:r>
        <w:rPr>
          <w:rFonts w:ascii="宋体" w:hAnsi="宋体"/>
          <w:szCs w:val="21"/>
        </w:rPr>
        <w:t>文化程度</w:t>
      </w:r>
    </w:p>
    <w:p>
      <w:pPr>
        <w:widowControl/>
        <w:spacing w:before="100" w:beforeAutospacing="1" w:after="100" w:afterAutospacing="1" w:line="360" w:lineRule="auto"/>
        <w:ind w:firstLine="601"/>
        <w:jc w:val="left"/>
        <w:rPr>
          <w:rFonts w:ascii="宋体" w:hAnsi="宋体" w:cs="宋体"/>
          <w:kern w:val="0"/>
          <w:szCs w:val="21"/>
        </w:rPr>
      </w:pPr>
      <w:r>
        <w:rPr>
          <w:rFonts w:hint="eastAsia" w:ascii="宋体" w:hAnsi="宋体" w:cs="宋体"/>
          <w:kern w:val="0"/>
          <w:szCs w:val="21"/>
        </w:rPr>
        <w:t xml:space="preserve">在需求人群中，本季度大专和高中任然是需求比重最大的，在求职人群中，也是高中及大专占了总求职的绝大多数。总体上讲，文化水平虽然在逐渐提高，但还是以高中和大专为主，高学历人才相对较少，本科比例为16.20%，硕士以上人员比例仅占0.34%。 </w:t>
      </w:r>
    </w:p>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表11. 按文化程度分组的供求人数</w:t>
      </w:r>
    </w:p>
    <w:tbl>
      <w:tblPr>
        <w:tblStyle w:val="6"/>
        <w:tblW w:w="4912"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81" w:type="pct"/>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文化程度</w:t>
            </w:r>
          </w:p>
        </w:tc>
        <w:tc>
          <w:tcPr>
            <w:tcW w:w="4219" w:type="pct"/>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781" w:type="pct"/>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Cs w:val="21"/>
              </w:rPr>
            </w:pPr>
          </w:p>
        </w:tc>
        <w:tc>
          <w:tcPr>
            <w:tcW w:w="678"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64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p>
        </w:tc>
        <w:tc>
          <w:tcPr>
            <w:tcW w:w="752"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107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 (%)</w:t>
            </w:r>
          </w:p>
        </w:tc>
        <w:tc>
          <w:tcPr>
            <w:tcW w:w="1073" w:type="pct"/>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初中及以下</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5298</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12.19%</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4477</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12.40%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1.18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高中</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12443</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28.63%</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10382</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28.76%</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其中：职高、技校、中专</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5538</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12.74%</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4562</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12.64%</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大专</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18528</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42.64%</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15266</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42.28%</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大学</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7038</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16.20%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5848</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16.20%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硕士以上</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147</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0.34%</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130</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0.36%</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1.13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0.00%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781" w:type="pct"/>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678"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43454</w:t>
            </w:r>
          </w:p>
        </w:tc>
        <w:tc>
          <w:tcPr>
            <w:tcW w:w="643" w:type="pct"/>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752"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36103</w:t>
            </w:r>
          </w:p>
        </w:tc>
        <w:tc>
          <w:tcPr>
            <w:tcW w:w="1073" w:type="pct"/>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100.00%</w:t>
            </w:r>
          </w:p>
        </w:tc>
        <w:tc>
          <w:tcPr>
            <w:tcW w:w="1073" w:type="pct"/>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bl>
    <w:p>
      <w:pPr>
        <w:adjustRightInd w:val="0"/>
        <w:snapToGrid w:val="0"/>
        <w:spacing w:line="360" w:lineRule="auto"/>
        <w:rPr>
          <w:rFonts w:ascii="宋体" w:hAnsi="宋体"/>
          <w:color w:val="FF0000"/>
          <w:szCs w:val="21"/>
        </w:rPr>
      </w:pPr>
    </w:p>
    <w:p>
      <w:pPr>
        <w:adjustRightInd w:val="0"/>
        <w:snapToGrid w:val="0"/>
        <w:spacing w:line="360" w:lineRule="auto"/>
        <w:rPr>
          <w:rFonts w:ascii="宋体" w:hAnsi="宋体"/>
          <w:szCs w:val="21"/>
        </w:rPr>
      </w:pPr>
      <w:r>
        <w:rPr>
          <w:rFonts w:hint="eastAsia" w:ascii="宋体" w:hAnsi="宋体"/>
          <w:szCs w:val="21"/>
        </w:rPr>
        <w:t xml:space="preserve">4. </w:t>
      </w:r>
      <w:r>
        <w:rPr>
          <w:rFonts w:ascii="宋体" w:hAnsi="宋体"/>
          <w:szCs w:val="21"/>
        </w:rPr>
        <w:t>技术等级或职称</w:t>
      </w:r>
    </w:p>
    <w:p>
      <w:pPr>
        <w:adjustRightInd w:val="0"/>
        <w:snapToGrid w:val="0"/>
        <w:spacing w:line="360" w:lineRule="auto"/>
        <w:ind w:firstLine="420" w:firstLineChars="200"/>
        <w:jc w:val="left"/>
        <w:rPr>
          <w:rFonts w:ascii="宋体" w:hAnsi="宋体"/>
          <w:szCs w:val="21"/>
        </w:rPr>
      </w:pPr>
      <w:r>
        <w:rPr>
          <w:rFonts w:hint="eastAsia" w:ascii="宋体" w:hAnsi="宋体"/>
          <w:szCs w:val="21"/>
        </w:rPr>
        <w:t>按技术等级分类，需求中无要求的占52.78%，求职者中无技术等级和职称的占54.36%，这两者仍然是需求和求职的主要构成部分，与去年同期相比，</w:t>
      </w:r>
      <w:r>
        <w:rPr>
          <w:rFonts w:ascii="宋体" w:hAnsi="宋体"/>
          <w:szCs w:val="21"/>
        </w:rPr>
        <w:t>企业</w:t>
      </w:r>
      <w:r>
        <w:rPr>
          <w:rFonts w:hint="eastAsia" w:ascii="宋体" w:hAnsi="宋体"/>
          <w:szCs w:val="21"/>
        </w:rPr>
        <w:t>对于有高技能的人才需要略有增加，而求职者中有职业资格专业技术的比例也逐年上升。</w:t>
      </w:r>
    </w:p>
    <w:p>
      <w:pPr>
        <w:adjustRightInd w:val="0"/>
        <w:snapToGrid w:val="0"/>
        <w:spacing w:line="360" w:lineRule="auto"/>
        <w:jc w:val="center"/>
        <w:rPr>
          <w:rFonts w:ascii="宋体" w:hAnsi="宋体"/>
          <w:szCs w:val="21"/>
        </w:rPr>
      </w:pPr>
      <w:r>
        <w:rPr>
          <w:rFonts w:hint="eastAsia" w:ascii="宋体" w:hAnsi="宋体"/>
          <w:szCs w:val="21"/>
        </w:rPr>
        <w:t xml:space="preserve">表12 </w:t>
      </w:r>
      <w:r>
        <w:rPr>
          <w:rFonts w:ascii="宋体" w:hAnsi="宋体"/>
          <w:szCs w:val="21"/>
        </w:rPr>
        <w:t>按技术等级分组的供求人数</w:t>
      </w:r>
    </w:p>
    <w:tbl>
      <w:tblPr>
        <w:tblStyle w:val="6"/>
        <w:tblW w:w="6678" w:type="dxa"/>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35"/>
        <w:gridCol w:w="1080"/>
        <w:gridCol w:w="900"/>
        <w:gridCol w:w="1080"/>
        <w:gridCol w:w="900"/>
        <w:gridCol w:w="108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63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技术等级</w:t>
            </w:r>
          </w:p>
        </w:tc>
        <w:tc>
          <w:tcPr>
            <w:tcW w:w="5043"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635"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Cs w:val="21"/>
              </w:rPr>
            </w:pP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本季度需求比重（</w:t>
            </w:r>
            <w:r>
              <w:rPr>
                <w:rFonts w:ascii="宋体" w:hAnsi="宋体" w:cs="宋体"/>
                <w:kern w:val="0"/>
                <w:szCs w:val="21"/>
              </w:rPr>
              <w:t>%</w:t>
            </w:r>
            <w:r>
              <w:rPr>
                <w:rFonts w:hint="eastAsia" w:ascii="宋体" w:hAnsi="宋体" w:cs="宋体"/>
                <w:kern w:val="0"/>
                <w:szCs w:val="21"/>
              </w:rPr>
              <w:t>）</w:t>
            </w:r>
          </w:p>
        </w:tc>
        <w:tc>
          <w:tcPr>
            <w:tcW w:w="108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本季度求职人数（人）</w:t>
            </w:r>
          </w:p>
        </w:tc>
        <w:tc>
          <w:tcPr>
            <w:tcW w:w="9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本季度求职比重（</w:t>
            </w:r>
            <w:r>
              <w:rPr>
                <w:rFonts w:ascii="宋体" w:hAnsi="宋体" w:cs="宋体"/>
                <w:kern w:val="0"/>
                <w:szCs w:val="21"/>
              </w:rPr>
              <w:t>%</w:t>
            </w:r>
            <w:r>
              <w:rPr>
                <w:rFonts w:hint="eastAsia" w:ascii="宋体" w:hAnsi="宋体" w:cs="宋体"/>
                <w:kern w:val="0"/>
                <w:szCs w:val="21"/>
              </w:rPr>
              <w:t>）</w:t>
            </w:r>
          </w:p>
        </w:tc>
        <w:tc>
          <w:tcPr>
            <w:tcW w:w="108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职业资格五级</w:t>
            </w:r>
            <w:r>
              <w:rPr>
                <w:rFonts w:hint="eastAsia" w:ascii="宋体" w:hAnsi="宋体" w:cs="宋体"/>
                <w:kern w:val="0"/>
                <w:szCs w:val="21"/>
              </w:rPr>
              <w:br w:type="textWrapping"/>
            </w:r>
            <w:r>
              <w:rPr>
                <w:rFonts w:hint="eastAsia" w:ascii="宋体" w:hAnsi="宋体" w:cs="宋体"/>
                <w:kern w:val="0"/>
                <w:szCs w:val="21"/>
              </w:rPr>
              <w:t>(初级技能)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13575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33.94%</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12624</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38.35%</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1.08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职业资格四级</w:t>
            </w:r>
            <w:r>
              <w:rPr>
                <w:rFonts w:hint="eastAsia" w:ascii="宋体" w:hAnsi="宋体" w:cs="宋体"/>
                <w:kern w:val="0"/>
                <w:szCs w:val="21"/>
              </w:rPr>
              <w:br w:type="textWrapping"/>
            </w:r>
            <w:r>
              <w:rPr>
                <w:rFonts w:hint="eastAsia" w:ascii="宋体" w:hAnsi="宋体" w:cs="宋体"/>
                <w:kern w:val="0"/>
                <w:szCs w:val="21"/>
              </w:rPr>
              <w:t>(中级技能)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4385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10.96%</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2634</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8.00%</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1.66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职业资格三级</w:t>
            </w:r>
            <w:r>
              <w:rPr>
                <w:rFonts w:hint="eastAsia" w:ascii="宋体" w:hAnsi="宋体" w:cs="宋体"/>
                <w:kern w:val="0"/>
                <w:szCs w:val="21"/>
              </w:rPr>
              <w:br w:type="textWrapping"/>
            </w:r>
            <w:r>
              <w:rPr>
                <w:rFonts w:hint="eastAsia" w:ascii="宋体" w:hAnsi="宋体" w:cs="宋体"/>
                <w:kern w:val="0"/>
                <w:szCs w:val="21"/>
              </w:rPr>
              <w:t>(高级技能)</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2085</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5.21%</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1078</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3.27%</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1.93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职业资格二级(技师)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462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1.16%</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299</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0.91%</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1.55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职业资格一级(高级技师)</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267</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0.67%</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162</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0.49%</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1.65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初级专业技术职务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1029</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2.57%</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976</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2.96%</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1.05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中级专业技术职务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462</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1.16%</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357</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1.08%</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高级专业技术职务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78</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0.20%</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80</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0.24%</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0.98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无技术等级或职称</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17893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54.36%</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1.18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无要求</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21111</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52.78%</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63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Cs w:val="21"/>
              </w:rPr>
            </w:pPr>
            <w:r>
              <w:rPr>
                <w:rFonts w:hint="eastAsia" w:ascii="宋体" w:hAnsi="宋体" w:cs="宋体"/>
                <w:kern w:val="0"/>
                <w:szCs w:val="21"/>
              </w:rPr>
              <w:t>合计</w:t>
            </w:r>
          </w:p>
        </w:tc>
        <w:tc>
          <w:tcPr>
            <w:tcW w:w="108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43454</w:t>
            </w:r>
          </w:p>
        </w:tc>
        <w:tc>
          <w:tcPr>
            <w:tcW w:w="9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w:t>
            </w:r>
          </w:p>
        </w:tc>
        <w:tc>
          <w:tcPr>
            <w:tcW w:w="108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36103</w:t>
            </w:r>
          </w:p>
        </w:tc>
        <w:tc>
          <w:tcPr>
            <w:tcW w:w="9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100%</w:t>
            </w:r>
          </w:p>
        </w:tc>
        <w:tc>
          <w:tcPr>
            <w:tcW w:w="1083"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ascii="宋体" w:hAnsi="宋体" w:cs="宋体"/>
                <w:sz w:val="22"/>
                <w:szCs w:val="22"/>
              </w:rPr>
            </w:pPr>
            <w:r>
              <w:rPr>
                <w:rFonts w:hint="eastAsia"/>
                <w:sz w:val="22"/>
                <w:szCs w:val="22"/>
              </w:rPr>
              <w:t xml:space="preserve">1.20 </w:t>
            </w:r>
          </w:p>
        </w:tc>
      </w:tr>
    </w:tbl>
    <w:p>
      <w:pPr>
        <w:adjustRightInd w:val="0"/>
        <w:snapToGrid w:val="0"/>
        <w:spacing w:line="360" w:lineRule="auto"/>
        <w:jc w:val="left"/>
        <w:rPr>
          <w:rFonts w:ascii="宋体" w:hAnsi="宋体"/>
          <w:sz w:val="30"/>
          <w:szCs w:val="30"/>
          <w:highlight w:val="yellow"/>
        </w:rPr>
      </w:pPr>
    </w:p>
    <w:p>
      <w:pPr>
        <w:adjustRightInd w:val="0"/>
        <w:snapToGrid w:val="0"/>
        <w:spacing w:line="360" w:lineRule="auto"/>
        <w:jc w:val="left"/>
        <w:rPr>
          <w:rFonts w:ascii="宋体" w:hAnsi="宋体"/>
          <w:b/>
          <w:sz w:val="30"/>
          <w:szCs w:val="30"/>
        </w:rPr>
      </w:pPr>
      <w:r>
        <w:rPr>
          <w:rFonts w:hint="eastAsia" w:ascii="宋体" w:hAnsi="宋体"/>
          <w:sz w:val="30"/>
          <w:szCs w:val="30"/>
        </w:rPr>
        <w:t>三、</w:t>
      </w:r>
      <w:r>
        <w:rPr>
          <w:rFonts w:hint="eastAsia" w:ascii="宋体" w:hAnsi="宋体"/>
          <w:b/>
          <w:sz w:val="30"/>
          <w:szCs w:val="30"/>
        </w:rPr>
        <w:t>三季度人力资源市场运行状况和特点及应对措施</w:t>
      </w:r>
    </w:p>
    <w:p>
      <w:pPr>
        <w:adjustRightInd w:val="0"/>
        <w:snapToGrid w:val="0"/>
        <w:spacing w:line="360" w:lineRule="auto"/>
        <w:jc w:val="left"/>
        <w:rPr>
          <w:rFonts w:ascii="宋体" w:hAnsi="宋体"/>
          <w:b/>
          <w:szCs w:val="21"/>
        </w:rPr>
      </w:pPr>
      <w:r>
        <w:rPr>
          <w:rFonts w:hint="eastAsia" w:ascii="宋体" w:hAnsi="宋体"/>
          <w:b/>
          <w:szCs w:val="21"/>
        </w:rPr>
        <w:t>（一）、三季度人力资源市场运行状况和特点</w:t>
      </w:r>
    </w:p>
    <w:p>
      <w:pPr>
        <w:adjustRightInd w:val="0"/>
        <w:snapToGrid w:val="0"/>
        <w:spacing w:line="360" w:lineRule="auto"/>
        <w:ind w:firstLine="420"/>
        <w:jc w:val="left"/>
        <w:rPr>
          <w:rFonts w:ascii="宋体" w:hAnsi="宋体"/>
          <w:color w:val="FF0000"/>
          <w:szCs w:val="21"/>
        </w:rPr>
      </w:pPr>
      <w:r>
        <w:rPr>
          <w:rFonts w:hint="eastAsia" w:ascii="宋体" w:hAnsi="宋体"/>
          <w:szCs w:val="21"/>
        </w:rPr>
        <w:t>1、本季度需求数为43454人，求职数为36103人，求人倍率为1.20。校招高峰在本季度显现，求人倍率逐渐回落，与往年同期相比无大的变动。从图表中可以看出一季度因疫情影响造成的高求人倍率到二三季度逐渐恢复至往年同期水平。第二产业尤其是制造业仍占企业需求和求职的主要部分，第三产业比重逐步上升。纺织、服装、机械等一线操作工，市场操作工、纺织工，缝纫工等在需求总量上的绝对值最大，但因为技术含量低，求人倍率与总倍率持平。男女需求差距略有扩大，总体上无论是需求还是求职，男性仍略大于女性，这与我市的行业结构有关，也与年轻女性结婚生育的社会现象有关。我市的机械装备、纺织服装、治工、化工等行业仍是我市企业用工主体。需求和求职均以青壮年为主，从需求来看，这一年龄段群体的相对于其它年龄段的求职者来说，可塑性和学习能力都优于其他年龄段，更受单位欢迎；从求职者来看，这个年龄段的求职者流动性大，对自身的职业规划还在不断调整优化中，在整个人力资源供求市场中，青壮年一直为主力军。</w:t>
      </w:r>
      <w:r>
        <w:rPr>
          <w:rFonts w:hint="eastAsia" w:ascii="宋体" w:hAnsi="宋体"/>
          <w:color w:val="FF0000"/>
          <w:szCs w:val="21"/>
        </w:rPr>
        <w:drawing>
          <wp:inline distT="0" distB="0" distL="0" distR="0">
            <wp:extent cx="5048250" cy="2057400"/>
            <wp:effectExtent l="19050" t="0" r="19050"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adjustRightInd w:val="0"/>
        <w:snapToGrid w:val="0"/>
        <w:spacing w:line="360" w:lineRule="auto"/>
        <w:ind w:firstLine="420"/>
        <w:jc w:val="left"/>
        <w:rPr>
          <w:rFonts w:ascii="宋体" w:hAnsi="宋体"/>
          <w:szCs w:val="21"/>
        </w:rPr>
      </w:pPr>
      <w:r>
        <w:rPr>
          <w:rFonts w:hint="eastAsia" w:ascii="宋体" w:hAnsi="宋体"/>
          <w:szCs w:val="21"/>
        </w:rPr>
        <w:t>2、专业技术人员的求人倍率略高于其它各职业；有技术等级的求人倍率略高，等级越高，求人倍率越大；这表明我市对高技术人才、专业技术人才的需求量仍然较大。文化程度的需求和求职基本匹配，从数量上看，高中生的需求最大，尤其是职高、技校、中专生，说明市场对实用型人才的需求较大。</w:t>
      </w:r>
    </w:p>
    <w:p>
      <w:pPr>
        <w:adjustRightInd w:val="0"/>
        <w:snapToGrid w:val="0"/>
        <w:spacing w:line="360" w:lineRule="auto"/>
        <w:ind w:firstLine="420"/>
        <w:jc w:val="left"/>
        <w:rPr>
          <w:rFonts w:ascii="宋体" w:hAnsi="宋体"/>
          <w:szCs w:val="21"/>
        </w:rPr>
      </w:pPr>
      <w:r>
        <w:rPr>
          <w:rFonts w:hint="eastAsia" w:ascii="宋体" w:hAnsi="宋体"/>
          <w:szCs w:val="21"/>
        </w:rPr>
        <w:t>3、外埠及本市农村人员还是求职人员的主力军比例高达52.04%，由于本季是毕业季，所以新成长失业青年占比有所上升，占总求职人数的18.78%。</w:t>
      </w:r>
    </w:p>
    <w:p>
      <w:pPr>
        <w:adjustRightInd w:val="0"/>
        <w:snapToGrid w:val="0"/>
        <w:spacing w:line="360" w:lineRule="auto"/>
        <w:ind w:firstLine="420"/>
        <w:jc w:val="left"/>
        <w:rPr>
          <w:rFonts w:ascii="宋体" w:hAnsi="宋体"/>
          <w:szCs w:val="21"/>
        </w:rPr>
      </w:pPr>
    </w:p>
    <w:p>
      <w:pPr>
        <w:pStyle w:val="18"/>
        <w:numPr>
          <w:ilvl w:val="0"/>
          <w:numId w:val="1"/>
        </w:numPr>
        <w:spacing w:line="360" w:lineRule="auto"/>
        <w:ind w:firstLineChars="0"/>
        <w:rPr>
          <w:rFonts w:ascii="宋体" w:hAnsi="宋体"/>
          <w:b/>
          <w:szCs w:val="21"/>
        </w:rPr>
      </w:pPr>
      <w:r>
        <w:rPr>
          <w:rFonts w:hint="eastAsia" w:ascii="宋体" w:hAnsi="宋体"/>
          <w:b/>
          <w:szCs w:val="21"/>
        </w:rPr>
        <w:t>针对以上情况，我市人力资源市场采取了积极的应对措施：</w:t>
      </w:r>
    </w:p>
    <w:p>
      <w:pPr>
        <w:spacing w:line="360" w:lineRule="auto"/>
        <w:ind w:firstLine="420" w:firstLineChars="200"/>
        <w:rPr>
          <w:rFonts w:ascii="宋体" w:hAnsi="宋体"/>
          <w:szCs w:val="21"/>
        </w:rPr>
      </w:pPr>
      <w:r>
        <w:rPr>
          <w:rFonts w:hint="eastAsia" w:ascii="宋体" w:hAnsi="宋体"/>
          <w:szCs w:val="21"/>
        </w:rPr>
        <w:t>1、张家港市人才市场通过开发91580求职登记信息平台，求职者可通过这个云求职登记信息平台，不限学历要求，不限工作经验，不限一技之长，都可以进行登记，登记后可以与企业直接匹配，更好地满足企业和求职人员的需求。</w:t>
      </w:r>
    </w:p>
    <w:p>
      <w:pPr>
        <w:spacing w:line="360" w:lineRule="auto"/>
        <w:ind w:firstLine="420" w:firstLineChars="200"/>
        <w:rPr>
          <w:rFonts w:ascii="宋体" w:hAnsi="宋体"/>
          <w:szCs w:val="21"/>
        </w:rPr>
      </w:pPr>
      <w:r>
        <w:rPr>
          <w:rFonts w:hint="eastAsia" w:ascii="宋体" w:hAnsi="宋体"/>
          <w:szCs w:val="21"/>
        </w:rPr>
        <w:t>2、为满足新冠肺炎防控工作下的招聘需求，张家港市人才市场网站通过举办金秋送爽-名企送岗双选会活动，为我市重点企业、领军人才企业和求职者搭建云上招聘会平台，满足应聘高校毕业生的求职需求。</w:t>
      </w:r>
    </w:p>
    <w:p>
      <w:pPr>
        <w:spacing w:line="360" w:lineRule="auto"/>
        <w:ind w:firstLine="420" w:firstLineChars="200"/>
        <w:rPr>
          <w:rFonts w:ascii="宋体" w:hAnsi="宋体"/>
          <w:szCs w:val="21"/>
        </w:rPr>
      </w:pPr>
      <w:r>
        <w:rPr>
          <w:rFonts w:hint="eastAsia" w:ascii="宋体" w:hAnsi="宋体"/>
          <w:szCs w:val="21"/>
        </w:rPr>
        <w:t>3、我们做好疫情防控的同时，将继续加强用工情况动态监测，做好常态用工监测、数据分析，建立走访服务长效机制；精准服务企业用工需求，继续拓展“张家港人才网”微信小程序、“张家港人才”微信公众号等线上招聘渠道；通过建立重点企业的联络微信群，动态跟踪服务企业用工情况，4、搭建</w:t>
      </w:r>
      <w:r>
        <w:rPr>
          <w:rFonts w:ascii="宋体" w:hAnsi="宋体"/>
          <w:szCs w:val="21"/>
        </w:rPr>
        <w:t>企业用工信息平台。充分发挥“就在苏州”公共服务线上平台作用，聚合全市公共人力资源市场和重点企业岗位信息</w:t>
      </w:r>
      <w:r>
        <w:rPr>
          <w:rFonts w:hint="eastAsia" w:ascii="宋体" w:hAnsi="宋体"/>
          <w:szCs w:val="21"/>
        </w:rPr>
        <w:t>和</w:t>
      </w:r>
      <w:r>
        <w:rPr>
          <w:rFonts w:ascii="宋体" w:hAnsi="宋体"/>
          <w:szCs w:val="21"/>
        </w:rPr>
        <w:t>招聘会信息，多渠道宣传引流</w:t>
      </w:r>
      <w:r>
        <w:rPr>
          <w:rFonts w:hint="eastAsia" w:ascii="宋体" w:hAnsi="宋体"/>
          <w:szCs w:val="21"/>
        </w:rPr>
        <w:t>，</w:t>
      </w:r>
      <w:r>
        <w:rPr>
          <w:rFonts w:ascii="宋体" w:hAnsi="宋体"/>
          <w:szCs w:val="21"/>
        </w:rPr>
        <w:t>促进供需双方高效</w:t>
      </w:r>
      <w:r>
        <w:rPr>
          <w:rFonts w:hint="eastAsia" w:ascii="宋体" w:hAnsi="宋体"/>
          <w:szCs w:val="21"/>
        </w:rPr>
        <w:t>、</w:t>
      </w:r>
      <w:r>
        <w:rPr>
          <w:rFonts w:ascii="宋体" w:hAnsi="宋体"/>
          <w:szCs w:val="21"/>
        </w:rPr>
        <w:t>精准对接。</w:t>
      </w:r>
    </w:p>
    <w:p>
      <w:pPr>
        <w:spacing w:line="360" w:lineRule="auto"/>
        <w:ind w:firstLine="420" w:firstLineChars="200"/>
        <w:rPr>
          <w:rFonts w:ascii="宋体" w:hAnsi="宋体"/>
          <w:szCs w:val="21"/>
        </w:rPr>
      </w:pPr>
      <w:r>
        <w:rPr>
          <w:rFonts w:hint="eastAsia" w:ascii="宋体" w:hAnsi="宋体"/>
          <w:szCs w:val="21"/>
        </w:rPr>
        <w:t>4、</w:t>
      </w:r>
      <w:r>
        <w:rPr>
          <w:rFonts w:ascii="宋体" w:hAnsi="宋体"/>
          <w:szCs w:val="21"/>
        </w:rPr>
        <w:t>扩大企业用工来源渠道。继续加强与劳动力输出地区的人力资源合作对接，赴外拓展更多劳务合作、校企合作基地，加强与合作地区的岗位信息对接匹配，开展组织化劳务协作。切实加强与已脱贫对口地区间的劳务合作，促进巩固脱贫攻坚成果与推进乡村振兴战略的有效衔接。进一步加强与外省市院校的联系合作</w:t>
      </w:r>
      <w:r>
        <w:rPr>
          <w:rFonts w:hint="eastAsia" w:ascii="宋体" w:hAnsi="宋体"/>
          <w:szCs w:val="21"/>
        </w:rPr>
        <w:t>，</w:t>
      </w:r>
      <w:r>
        <w:rPr>
          <w:rFonts w:ascii="宋体" w:hAnsi="宋体"/>
          <w:szCs w:val="21"/>
        </w:rPr>
        <w:t>促进产教融合，助力企业技能人才引进。</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p>
    <w:p>
      <w:pPr>
        <w:adjustRightInd w:val="0"/>
        <w:snapToGrid w:val="0"/>
        <w:spacing w:line="360" w:lineRule="auto"/>
        <w:jc w:val="left"/>
        <w:rPr>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A21554"/>
    <w:multiLevelType w:val="multilevel"/>
    <w:tmpl w:val="5BA21554"/>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B7"/>
    <w:rsid w:val="00006087"/>
    <w:rsid w:val="00012187"/>
    <w:rsid w:val="00016DE2"/>
    <w:rsid w:val="000227BC"/>
    <w:rsid w:val="0003728A"/>
    <w:rsid w:val="00043478"/>
    <w:rsid w:val="0004598D"/>
    <w:rsid w:val="000478D2"/>
    <w:rsid w:val="00050931"/>
    <w:rsid w:val="00050C5E"/>
    <w:rsid w:val="000567AE"/>
    <w:rsid w:val="000630B7"/>
    <w:rsid w:val="000664E1"/>
    <w:rsid w:val="00066803"/>
    <w:rsid w:val="000668D0"/>
    <w:rsid w:val="000678B7"/>
    <w:rsid w:val="00072F3E"/>
    <w:rsid w:val="0008306D"/>
    <w:rsid w:val="00083974"/>
    <w:rsid w:val="00084B52"/>
    <w:rsid w:val="000A071E"/>
    <w:rsid w:val="000A7056"/>
    <w:rsid w:val="000B13B0"/>
    <w:rsid w:val="000B2CD7"/>
    <w:rsid w:val="000B4C20"/>
    <w:rsid w:val="000C5A43"/>
    <w:rsid w:val="000E0C58"/>
    <w:rsid w:val="000E3DFC"/>
    <w:rsid w:val="000F69C1"/>
    <w:rsid w:val="00111C0D"/>
    <w:rsid w:val="001147B4"/>
    <w:rsid w:val="00117B68"/>
    <w:rsid w:val="00125ACA"/>
    <w:rsid w:val="00125D19"/>
    <w:rsid w:val="001262CA"/>
    <w:rsid w:val="00140ECF"/>
    <w:rsid w:val="00142CEF"/>
    <w:rsid w:val="00147C96"/>
    <w:rsid w:val="00151CFC"/>
    <w:rsid w:val="001524CF"/>
    <w:rsid w:val="00154FC5"/>
    <w:rsid w:val="001601F0"/>
    <w:rsid w:val="001606F9"/>
    <w:rsid w:val="001700DA"/>
    <w:rsid w:val="00171ED5"/>
    <w:rsid w:val="00181C29"/>
    <w:rsid w:val="0018525A"/>
    <w:rsid w:val="001854EE"/>
    <w:rsid w:val="00195ECF"/>
    <w:rsid w:val="001A32CA"/>
    <w:rsid w:val="001A4952"/>
    <w:rsid w:val="001B037B"/>
    <w:rsid w:val="001B087F"/>
    <w:rsid w:val="001B09F5"/>
    <w:rsid w:val="001B2459"/>
    <w:rsid w:val="001B3FCA"/>
    <w:rsid w:val="001C08AC"/>
    <w:rsid w:val="001C1B7C"/>
    <w:rsid w:val="001C1C78"/>
    <w:rsid w:val="001C4DA6"/>
    <w:rsid w:val="001C7782"/>
    <w:rsid w:val="001D3AEB"/>
    <w:rsid w:val="001E019F"/>
    <w:rsid w:val="001E5F63"/>
    <w:rsid w:val="001F0B2B"/>
    <w:rsid w:val="001F37F6"/>
    <w:rsid w:val="001F6B9D"/>
    <w:rsid w:val="0021663D"/>
    <w:rsid w:val="00217FFB"/>
    <w:rsid w:val="002206CB"/>
    <w:rsid w:val="0022349D"/>
    <w:rsid w:val="00224984"/>
    <w:rsid w:val="00232995"/>
    <w:rsid w:val="002363AF"/>
    <w:rsid w:val="002413EA"/>
    <w:rsid w:val="00293056"/>
    <w:rsid w:val="00295BC4"/>
    <w:rsid w:val="002A2CBC"/>
    <w:rsid w:val="002B0AC3"/>
    <w:rsid w:val="002B3B0B"/>
    <w:rsid w:val="002C0B62"/>
    <w:rsid w:val="002C36BF"/>
    <w:rsid w:val="002C40BB"/>
    <w:rsid w:val="002D1471"/>
    <w:rsid w:val="002E1E4B"/>
    <w:rsid w:val="003057FE"/>
    <w:rsid w:val="00305C97"/>
    <w:rsid w:val="00316750"/>
    <w:rsid w:val="00316E33"/>
    <w:rsid w:val="00317FED"/>
    <w:rsid w:val="00334013"/>
    <w:rsid w:val="0034498D"/>
    <w:rsid w:val="00350CC5"/>
    <w:rsid w:val="003525CF"/>
    <w:rsid w:val="003602CB"/>
    <w:rsid w:val="00364886"/>
    <w:rsid w:val="00365C06"/>
    <w:rsid w:val="0037682A"/>
    <w:rsid w:val="003862E5"/>
    <w:rsid w:val="00386B51"/>
    <w:rsid w:val="00396420"/>
    <w:rsid w:val="00396CE4"/>
    <w:rsid w:val="0039793E"/>
    <w:rsid w:val="003A1016"/>
    <w:rsid w:val="003A435D"/>
    <w:rsid w:val="003A63E3"/>
    <w:rsid w:val="003B0A1E"/>
    <w:rsid w:val="003B10A9"/>
    <w:rsid w:val="003B7B9C"/>
    <w:rsid w:val="003B7C59"/>
    <w:rsid w:val="003C3F32"/>
    <w:rsid w:val="003C70E4"/>
    <w:rsid w:val="003C7F36"/>
    <w:rsid w:val="003D4FF9"/>
    <w:rsid w:val="003E0FF4"/>
    <w:rsid w:val="003E344F"/>
    <w:rsid w:val="003E3E7C"/>
    <w:rsid w:val="003E5D81"/>
    <w:rsid w:val="003E5F19"/>
    <w:rsid w:val="003E6823"/>
    <w:rsid w:val="0041029E"/>
    <w:rsid w:val="004155AB"/>
    <w:rsid w:val="004157A4"/>
    <w:rsid w:val="00416CEF"/>
    <w:rsid w:val="00426ABF"/>
    <w:rsid w:val="0043424C"/>
    <w:rsid w:val="00434793"/>
    <w:rsid w:val="00446431"/>
    <w:rsid w:val="0045156E"/>
    <w:rsid w:val="004552CE"/>
    <w:rsid w:val="00460EB2"/>
    <w:rsid w:val="00461C2F"/>
    <w:rsid w:val="0046297A"/>
    <w:rsid w:val="004649EF"/>
    <w:rsid w:val="004658E5"/>
    <w:rsid w:val="004662E8"/>
    <w:rsid w:val="004761E3"/>
    <w:rsid w:val="00480652"/>
    <w:rsid w:val="0048372A"/>
    <w:rsid w:val="00484C8D"/>
    <w:rsid w:val="0049356E"/>
    <w:rsid w:val="004B1FD8"/>
    <w:rsid w:val="004B56D2"/>
    <w:rsid w:val="004B7DC0"/>
    <w:rsid w:val="004C072B"/>
    <w:rsid w:val="004D1B76"/>
    <w:rsid w:val="004D3255"/>
    <w:rsid w:val="004D771F"/>
    <w:rsid w:val="004D788A"/>
    <w:rsid w:val="004F6D79"/>
    <w:rsid w:val="00505926"/>
    <w:rsid w:val="0050671D"/>
    <w:rsid w:val="00510977"/>
    <w:rsid w:val="00515F88"/>
    <w:rsid w:val="005327E0"/>
    <w:rsid w:val="005347B2"/>
    <w:rsid w:val="005375F8"/>
    <w:rsid w:val="0053791D"/>
    <w:rsid w:val="00542820"/>
    <w:rsid w:val="0055092A"/>
    <w:rsid w:val="005602AE"/>
    <w:rsid w:val="00567E9E"/>
    <w:rsid w:val="00572984"/>
    <w:rsid w:val="00572F2E"/>
    <w:rsid w:val="00574251"/>
    <w:rsid w:val="00577FFC"/>
    <w:rsid w:val="005849DD"/>
    <w:rsid w:val="005A19C5"/>
    <w:rsid w:val="005A68C0"/>
    <w:rsid w:val="005B45EE"/>
    <w:rsid w:val="005B6CD4"/>
    <w:rsid w:val="005E0DE4"/>
    <w:rsid w:val="005E33BF"/>
    <w:rsid w:val="005E3AEE"/>
    <w:rsid w:val="005E68FC"/>
    <w:rsid w:val="005F03D4"/>
    <w:rsid w:val="005F3491"/>
    <w:rsid w:val="00601A40"/>
    <w:rsid w:val="00615568"/>
    <w:rsid w:val="006345B3"/>
    <w:rsid w:val="00636F84"/>
    <w:rsid w:val="006529F2"/>
    <w:rsid w:val="00655D80"/>
    <w:rsid w:val="00657BBE"/>
    <w:rsid w:val="00660CD2"/>
    <w:rsid w:val="00660FCC"/>
    <w:rsid w:val="0066256E"/>
    <w:rsid w:val="0066299E"/>
    <w:rsid w:val="006732D8"/>
    <w:rsid w:val="0067391E"/>
    <w:rsid w:val="0068266E"/>
    <w:rsid w:val="00687CEA"/>
    <w:rsid w:val="006907AE"/>
    <w:rsid w:val="00690D78"/>
    <w:rsid w:val="006935F1"/>
    <w:rsid w:val="006A44D0"/>
    <w:rsid w:val="006C0526"/>
    <w:rsid w:val="006C6E58"/>
    <w:rsid w:val="006D1DA3"/>
    <w:rsid w:val="006D1E52"/>
    <w:rsid w:val="006D5FD7"/>
    <w:rsid w:val="006D64DF"/>
    <w:rsid w:val="006D66BF"/>
    <w:rsid w:val="006D7F24"/>
    <w:rsid w:val="006E7CE7"/>
    <w:rsid w:val="006F4C5A"/>
    <w:rsid w:val="007050CC"/>
    <w:rsid w:val="00707CBE"/>
    <w:rsid w:val="0071237C"/>
    <w:rsid w:val="00721CA6"/>
    <w:rsid w:val="007308D9"/>
    <w:rsid w:val="007337C5"/>
    <w:rsid w:val="007441F8"/>
    <w:rsid w:val="007544E0"/>
    <w:rsid w:val="00754822"/>
    <w:rsid w:val="007626EE"/>
    <w:rsid w:val="00763B3C"/>
    <w:rsid w:val="00765DFE"/>
    <w:rsid w:val="00773D0D"/>
    <w:rsid w:val="007817B4"/>
    <w:rsid w:val="00783799"/>
    <w:rsid w:val="00783EC3"/>
    <w:rsid w:val="007870FA"/>
    <w:rsid w:val="00787A20"/>
    <w:rsid w:val="0079257B"/>
    <w:rsid w:val="00792C22"/>
    <w:rsid w:val="00793D18"/>
    <w:rsid w:val="00794105"/>
    <w:rsid w:val="00794DFF"/>
    <w:rsid w:val="007A04E1"/>
    <w:rsid w:val="007A45F5"/>
    <w:rsid w:val="007A5F3C"/>
    <w:rsid w:val="007C3858"/>
    <w:rsid w:val="007C5652"/>
    <w:rsid w:val="007C6B7A"/>
    <w:rsid w:val="007D5489"/>
    <w:rsid w:val="007D7D7C"/>
    <w:rsid w:val="007E4857"/>
    <w:rsid w:val="007E6AD5"/>
    <w:rsid w:val="00800640"/>
    <w:rsid w:val="008020D2"/>
    <w:rsid w:val="00804439"/>
    <w:rsid w:val="00806020"/>
    <w:rsid w:val="00810D15"/>
    <w:rsid w:val="0081548D"/>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5A1D"/>
    <w:rsid w:val="008834A3"/>
    <w:rsid w:val="00884504"/>
    <w:rsid w:val="00891677"/>
    <w:rsid w:val="008A03FC"/>
    <w:rsid w:val="008B47A0"/>
    <w:rsid w:val="008B6931"/>
    <w:rsid w:val="008C3B2B"/>
    <w:rsid w:val="008D21D4"/>
    <w:rsid w:val="008D2C4D"/>
    <w:rsid w:val="008D4AEF"/>
    <w:rsid w:val="008E060A"/>
    <w:rsid w:val="008E769A"/>
    <w:rsid w:val="008F070C"/>
    <w:rsid w:val="008F4441"/>
    <w:rsid w:val="00907D3D"/>
    <w:rsid w:val="00915D9F"/>
    <w:rsid w:val="0091798E"/>
    <w:rsid w:val="009213D5"/>
    <w:rsid w:val="00921E26"/>
    <w:rsid w:val="00925B07"/>
    <w:rsid w:val="009266E7"/>
    <w:rsid w:val="009345E9"/>
    <w:rsid w:val="00935F12"/>
    <w:rsid w:val="00946E5E"/>
    <w:rsid w:val="00953551"/>
    <w:rsid w:val="009544BB"/>
    <w:rsid w:val="00962ECA"/>
    <w:rsid w:val="00967D1D"/>
    <w:rsid w:val="00971C63"/>
    <w:rsid w:val="00974709"/>
    <w:rsid w:val="009927FE"/>
    <w:rsid w:val="009A72D9"/>
    <w:rsid w:val="009C0BA4"/>
    <w:rsid w:val="009C254E"/>
    <w:rsid w:val="009C46D4"/>
    <w:rsid w:val="009D4691"/>
    <w:rsid w:val="009D6100"/>
    <w:rsid w:val="009E4BA6"/>
    <w:rsid w:val="009E56DB"/>
    <w:rsid w:val="009E5C74"/>
    <w:rsid w:val="009E730A"/>
    <w:rsid w:val="009F0169"/>
    <w:rsid w:val="009F37EA"/>
    <w:rsid w:val="009F5867"/>
    <w:rsid w:val="009F5A48"/>
    <w:rsid w:val="009F78A4"/>
    <w:rsid w:val="00A0654C"/>
    <w:rsid w:val="00A14F29"/>
    <w:rsid w:val="00A228CE"/>
    <w:rsid w:val="00A27F20"/>
    <w:rsid w:val="00A30150"/>
    <w:rsid w:val="00A30A13"/>
    <w:rsid w:val="00A34FFA"/>
    <w:rsid w:val="00A36AC2"/>
    <w:rsid w:val="00A61F72"/>
    <w:rsid w:val="00A63CB8"/>
    <w:rsid w:val="00A70EE8"/>
    <w:rsid w:val="00A72663"/>
    <w:rsid w:val="00A7395D"/>
    <w:rsid w:val="00A73A2F"/>
    <w:rsid w:val="00A81BCF"/>
    <w:rsid w:val="00A81DBE"/>
    <w:rsid w:val="00A859F4"/>
    <w:rsid w:val="00A863BE"/>
    <w:rsid w:val="00A91F4B"/>
    <w:rsid w:val="00A92CB6"/>
    <w:rsid w:val="00A9336F"/>
    <w:rsid w:val="00AA0A9E"/>
    <w:rsid w:val="00AA1BBA"/>
    <w:rsid w:val="00AA7153"/>
    <w:rsid w:val="00AB187F"/>
    <w:rsid w:val="00AB46FD"/>
    <w:rsid w:val="00AC2E67"/>
    <w:rsid w:val="00AC6FE2"/>
    <w:rsid w:val="00AD1F99"/>
    <w:rsid w:val="00AE2B40"/>
    <w:rsid w:val="00AE46CF"/>
    <w:rsid w:val="00AF632A"/>
    <w:rsid w:val="00AF7802"/>
    <w:rsid w:val="00B02153"/>
    <w:rsid w:val="00B04B64"/>
    <w:rsid w:val="00B06D17"/>
    <w:rsid w:val="00B237B1"/>
    <w:rsid w:val="00B26ADC"/>
    <w:rsid w:val="00B279B2"/>
    <w:rsid w:val="00B32132"/>
    <w:rsid w:val="00B33FAF"/>
    <w:rsid w:val="00B34543"/>
    <w:rsid w:val="00B403CA"/>
    <w:rsid w:val="00B43410"/>
    <w:rsid w:val="00B45474"/>
    <w:rsid w:val="00B53306"/>
    <w:rsid w:val="00B55690"/>
    <w:rsid w:val="00B6017D"/>
    <w:rsid w:val="00B63390"/>
    <w:rsid w:val="00B654DE"/>
    <w:rsid w:val="00B65530"/>
    <w:rsid w:val="00B76220"/>
    <w:rsid w:val="00B80206"/>
    <w:rsid w:val="00B80CBC"/>
    <w:rsid w:val="00B811B1"/>
    <w:rsid w:val="00B92685"/>
    <w:rsid w:val="00BA2331"/>
    <w:rsid w:val="00BA2C24"/>
    <w:rsid w:val="00BB0A96"/>
    <w:rsid w:val="00BB218E"/>
    <w:rsid w:val="00BB461C"/>
    <w:rsid w:val="00BC61A3"/>
    <w:rsid w:val="00BC7209"/>
    <w:rsid w:val="00BD31F4"/>
    <w:rsid w:val="00BD5BAB"/>
    <w:rsid w:val="00BD5CE8"/>
    <w:rsid w:val="00BE0B03"/>
    <w:rsid w:val="00BE71B6"/>
    <w:rsid w:val="00C05E88"/>
    <w:rsid w:val="00C2637E"/>
    <w:rsid w:val="00C276F7"/>
    <w:rsid w:val="00C312AB"/>
    <w:rsid w:val="00C32C85"/>
    <w:rsid w:val="00C3378E"/>
    <w:rsid w:val="00C4411B"/>
    <w:rsid w:val="00C4487F"/>
    <w:rsid w:val="00C462C5"/>
    <w:rsid w:val="00C540B9"/>
    <w:rsid w:val="00C6450D"/>
    <w:rsid w:val="00C662DD"/>
    <w:rsid w:val="00C70B3E"/>
    <w:rsid w:val="00C70DAE"/>
    <w:rsid w:val="00C70FD9"/>
    <w:rsid w:val="00C712FF"/>
    <w:rsid w:val="00C72294"/>
    <w:rsid w:val="00C7449F"/>
    <w:rsid w:val="00C74A6B"/>
    <w:rsid w:val="00C84F34"/>
    <w:rsid w:val="00C9088D"/>
    <w:rsid w:val="00C93E10"/>
    <w:rsid w:val="00CA3F5F"/>
    <w:rsid w:val="00CA57D1"/>
    <w:rsid w:val="00CB026A"/>
    <w:rsid w:val="00CB4F17"/>
    <w:rsid w:val="00CB696E"/>
    <w:rsid w:val="00CC1763"/>
    <w:rsid w:val="00CE6244"/>
    <w:rsid w:val="00CF04EC"/>
    <w:rsid w:val="00CF6009"/>
    <w:rsid w:val="00CF7040"/>
    <w:rsid w:val="00D00843"/>
    <w:rsid w:val="00D010A3"/>
    <w:rsid w:val="00D15DFC"/>
    <w:rsid w:val="00D17005"/>
    <w:rsid w:val="00D22C4E"/>
    <w:rsid w:val="00D23BB0"/>
    <w:rsid w:val="00D25ECF"/>
    <w:rsid w:val="00D26DF4"/>
    <w:rsid w:val="00D31854"/>
    <w:rsid w:val="00D31F7B"/>
    <w:rsid w:val="00D36DF7"/>
    <w:rsid w:val="00D476BC"/>
    <w:rsid w:val="00D5000C"/>
    <w:rsid w:val="00D562FA"/>
    <w:rsid w:val="00D5649E"/>
    <w:rsid w:val="00D61098"/>
    <w:rsid w:val="00D6764E"/>
    <w:rsid w:val="00D75E14"/>
    <w:rsid w:val="00D8630A"/>
    <w:rsid w:val="00D90FAA"/>
    <w:rsid w:val="00DA21EE"/>
    <w:rsid w:val="00DA3B3C"/>
    <w:rsid w:val="00DA68D5"/>
    <w:rsid w:val="00DC3B9A"/>
    <w:rsid w:val="00DC7EF5"/>
    <w:rsid w:val="00DE062E"/>
    <w:rsid w:val="00DF20B1"/>
    <w:rsid w:val="00DF4600"/>
    <w:rsid w:val="00DF6F42"/>
    <w:rsid w:val="00E07375"/>
    <w:rsid w:val="00E07749"/>
    <w:rsid w:val="00E20F80"/>
    <w:rsid w:val="00E220D9"/>
    <w:rsid w:val="00E22847"/>
    <w:rsid w:val="00E24576"/>
    <w:rsid w:val="00E447F7"/>
    <w:rsid w:val="00E47311"/>
    <w:rsid w:val="00E556B6"/>
    <w:rsid w:val="00E5579B"/>
    <w:rsid w:val="00E578EE"/>
    <w:rsid w:val="00E701D7"/>
    <w:rsid w:val="00E769CE"/>
    <w:rsid w:val="00E85996"/>
    <w:rsid w:val="00E866B7"/>
    <w:rsid w:val="00E9539B"/>
    <w:rsid w:val="00EA5687"/>
    <w:rsid w:val="00EA59B1"/>
    <w:rsid w:val="00EA5D5F"/>
    <w:rsid w:val="00EA68EE"/>
    <w:rsid w:val="00EB15F4"/>
    <w:rsid w:val="00EC0AAF"/>
    <w:rsid w:val="00EC135C"/>
    <w:rsid w:val="00EC31B6"/>
    <w:rsid w:val="00EC61A7"/>
    <w:rsid w:val="00EC7C66"/>
    <w:rsid w:val="00EE0FF5"/>
    <w:rsid w:val="00EE3BDA"/>
    <w:rsid w:val="00EE401A"/>
    <w:rsid w:val="00EE5E1F"/>
    <w:rsid w:val="00EF1CC5"/>
    <w:rsid w:val="00EF33A8"/>
    <w:rsid w:val="00EF3596"/>
    <w:rsid w:val="00EF4AEE"/>
    <w:rsid w:val="00EF4DA4"/>
    <w:rsid w:val="00EF718F"/>
    <w:rsid w:val="00F05E09"/>
    <w:rsid w:val="00F12209"/>
    <w:rsid w:val="00F15A3B"/>
    <w:rsid w:val="00F1671E"/>
    <w:rsid w:val="00F20112"/>
    <w:rsid w:val="00F252E9"/>
    <w:rsid w:val="00F3745C"/>
    <w:rsid w:val="00F37EB2"/>
    <w:rsid w:val="00F405B7"/>
    <w:rsid w:val="00F409B1"/>
    <w:rsid w:val="00F40A94"/>
    <w:rsid w:val="00F40AB4"/>
    <w:rsid w:val="00F42776"/>
    <w:rsid w:val="00F47F50"/>
    <w:rsid w:val="00F51704"/>
    <w:rsid w:val="00F57C8A"/>
    <w:rsid w:val="00F659C7"/>
    <w:rsid w:val="00F71DF6"/>
    <w:rsid w:val="00F750BE"/>
    <w:rsid w:val="00F77823"/>
    <w:rsid w:val="00F82995"/>
    <w:rsid w:val="00F860D4"/>
    <w:rsid w:val="00F9028C"/>
    <w:rsid w:val="00F91CCE"/>
    <w:rsid w:val="00F96E84"/>
    <w:rsid w:val="00F9739B"/>
    <w:rsid w:val="00FA7193"/>
    <w:rsid w:val="00FA7B4B"/>
    <w:rsid w:val="00FB3048"/>
    <w:rsid w:val="00FB5BE9"/>
    <w:rsid w:val="00FB6E23"/>
    <w:rsid w:val="00FB7EC7"/>
    <w:rsid w:val="00FC0692"/>
    <w:rsid w:val="00FC5A9D"/>
    <w:rsid w:val="00FD320D"/>
    <w:rsid w:val="00FD3F40"/>
    <w:rsid w:val="00FD67E6"/>
    <w:rsid w:val="00FE0A64"/>
    <w:rsid w:val="109F5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qFormat/>
    <w:uiPriority w:val="0"/>
    <w:pPr>
      <w:shd w:val="clear" w:color="auto" w:fill="000080"/>
    </w:pPr>
  </w:style>
  <w:style w:type="paragraph" w:styleId="3">
    <w:name w:val="Balloon Text"/>
    <w:basedOn w:val="1"/>
    <w:link w:val="13"/>
    <w:semiHidden/>
    <w:unhideWhenUsed/>
    <w:uiPriority w:val="0"/>
    <w:rPr>
      <w:sz w:val="18"/>
      <w:szCs w:val="18"/>
    </w:rPr>
  </w:style>
  <w:style w:type="paragraph" w:styleId="4">
    <w:name w:val="footer"/>
    <w:basedOn w:val="1"/>
    <w:link w:val="12"/>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page number"/>
    <w:basedOn w:val="8"/>
    <w:uiPriority w:val="0"/>
  </w:style>
  <w:style w:type="character" w:customStyle="1" w:styleId="11">
    <w:name w:val="页眉 Char"/>
    <w:basedOn w:val="8"/>
    <w:link w:val="5"/>
    <w:uiPriority w:val="0"/>
    <w:rPr>
      <w:sz w:val="18"/>
      <w:szCs w:val="18"/>
    </w:rPr>
  </w:style>
  <w:style w:type="character" w:customStyle="1" w:styleId="12">
    <w:name w:val="页脚 Char"/>
    <w:basedOn w:val="8"/>
    <w:link w:val="4"/>
    <w:semiHidden/>
    <w:uiPriority w:val="99"/>
    <w:rPr>
      <w:sz w:val="18"/>
      <w:szCs w:val="18"/>
    </w:rPr>
  </w:style>
  <w:style w:type="character" w:customStyle="1" w:styleId="13">
    <w:name w:val="批注框文本 Char"/>
    <w:basedOn w:val="8"/>
    <w:link w:val="3"/>
    <w:semiHidden/>
    <w:uiPriority w:val="99"/>
    <w:rPr>
      <w:rFonts w:ascii="Times New Roman" w:hAnsi="Times New Roman" w:eastAsia="宋体" w:cs="Times New Roman"/>
      <w:sz w:val="18"/>
      <w:szCs w:val="18"/>
    </w:rPr>
  </w:style>
  <w:style w:type="paragraph" w:customStyle="1" w:styleId="14">
    <w:name w:val="Char Char Char Char"/>
    <w:basedOn w:val="2"/>
    <w:uiPriority w:val="0"/>
    <w:pPr>
      <w:widowControl/>
      <w:ind w:firstLine="454"/>
      <w:jc w:val="left"/>
    </w:pPr>
    <w:rPr>
      <w:rFonts w:ascii="Tahoma" w:hAnsi="Tahoma" w:cs="宋体"/>
      <w:kern w:val="0"/>
      <w:szCs w:val="20"/>
    </w:rPr>
  </w:style>
  <w:style w:type="character" w:customStyle="1" w:styleId="15">
    <w:name w:val="文档结构图 Char"/>
    <w:basedOn w:val="8"/>
    <w:link w:val="2"/>
    <w:semiHidden/>
    <w:uiPriority w:val="0"/>
    <w:rPr>
      <w:rFonts w:ascii="Times New Roman" w:hAnsi="Times New Roman" w:eastAsia="宋体" w:cs="Times New Roman"/>
      <w:szCs w:val="24"/>
      <w:shd w:val="clear" w:color="auto" w:fill="000080"/>
    </w:rPr>
  </w:style>
  <w:style w:type="paragraph" w:customStyle="1" w:styleId="16">
    <w:name w:val="Char"/>
    <w:basedOn w:val="1"/>
    <w:qFormat/>
    <w:uiPriority w:val="0"/>
    <w:rPr>
      <w:rFonts w:ascii="Tahoma" w:hAnsi="Tahoma"/>
      <w:sz w:val="24"/>
      <w:szCs w:val="20"/>
    </w:rPr>
  </w:style>
  <w:style w:type="paragraph" w:customStyle="1" w:styleId="17">
    <w:name w:val="p0"/>
    <w:basedOn w:val="1"/>
    <w:qFormat/>
    <w:uiPriority w:val="0"/>
    <w:pPr>
      <w:widowControl/>
    </w:pPr>
    <w:rPr>
      <w:kern w:val="0"/>
      <w:szCs w:val="20"/>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15491506957854"/>
          <c:y val="0.0685340721298727"/>
          <c:w val="0.754161541128114"/>
          <c:h val="0.802783124331681"/>
        </c:manualLayout>
      </c:layout>
      <c:lineChart>
        <c:grouping val="standard"/>
        <c:varyColors val="0"/>
        <c:ser>
          <c:idx val="0"/>
          <c:order val="0"/>
          <c:tx>
            <c:strRef>
              <c:f>Sheet1!$B$1</c:f>
              <c:strCache>
                <c:ptCount val="1"/>
                <c:pt idx="0">
                  <c:v>2020年</c:v>
                </c:pt>
              </c:strCache>
            </c:strRef>
          </c:tx>
          <c:marker>
            <c:symbol val="none"/>
          </c:marker>
          <c:dLbls>
            <c:delete val="1"/>
          </c:dLbls>
          <c:cat>
            <c:strRef>
              <c:f>Sheet1!$A$2:$A$10</c:f>
              <c:strCache>
                <c:ptCount val="9"/>
                <c:pt idx="0">
                  <c:v>1月</c:v>
                </c:pt>
                <c:pt idx="1">
                  <c:v>2月</c:v>
                </c:pt>
                <c:pt idx="2">
                  <c:v>3月</c:v>
                </c:pt>
                <c:pt idx="3">
                  <c:v>4月</c:v>
                </c:pt>
                <c:pt idx="4">
                  <c:v>5月</c:v>
                </c:pt>
                <c:pt idx="5">
                  <c:v>6月</c:v>
                </c:pt>
                <c:pt idx="6">
                  <c:v>7月</c:v>
                </c:pt>
                <c:pt idx="7">
                  <c:v>8月</c:v>
                </c:pt>
                <c:pt idx="8">
                  <c:v>9月</c:v>
                </c:pt>
              </c:strCache>
            </c:strRef>
          </c:cat>
          <c:val>
            <c:numRef>
              <c:f>Sheet1!$B$2:$B$11</c:f>
              <c:numCache>
                <c:formatCode>General</c:formatCode>
                <c:ptCount val="10"/>
                <c:pt idx="0">
                  <c:v>1.28</c:v>
                </c:pt>
                <c:pt idx="1">
                  <c:v>1.33</c:v>
                </c:pt>
                <c:pt idx="2">
                  <c:v>1.25</c:v>
                </c:pt>
                <c:pt idx="3">
                  <c:v>1.21</c:v>
                </c:pt>
                <c:pt idx="4">
                  <c:v>1.19</c:v>
                </c:pt>
                <c:pt idx="5">
                  <c:v>1.19</c:v>
                </c:pt>
                <c:pt idx="6">
                  <c:v>1.19</c:v>
                </c:pt>
                <c:pt idx="7">
                  <c:v>1.2</c:v>
                </c:pt>
                <c:pt idx="8">
                  <c:v>1.21</c:v>
                </c:pt>
              </c:numCache>
            </c:numRef>
          </c:val>
          <c:smooth val="0"/>
        </c:ser>
        <c:ser>
          <c:idx val="1"/>
          <c:order val="1"/>
          <c:tx>
            <c:strRef>
              <c:f>Sheet1!$C$1</c:f>
              <c:strCache>
                <c:ptCount val="1"/>
                <c:pt idx="0">
                  <c:v>2021年</c:v>
                </c:pt>
              </c:strCache>
            </c:strRef>
          </c:tx>
          <c:marker>
            <c:symbol val="none"/>
          </c:marker>
          <c:dLbls>
            <c:delete val="1"/>
          </c:dLbls>
          <c:cat>
            <c:strRef>
              <c:f>Sheet1!$A$2:$A$10</c:f>
              <c:strCache>
                <c:ptCount val="9"/>
                <c:pt idx="0">
                  <c:v>1月</c:v>
                </c:pt>
                <c:pt idx="1">
                  <c:v>2月</c:v>
                </c:pt>
                <c:pt idx="2">
                  <c:v>3月</c:v>
                </c:pt>
                <c:pt idx="3">
                  <c:v>4月</c:v>
                </c:pt>
                <c:pt idx="4">
                  <c:v>5月</c:v>
                </c:pt>
                <c:pt idx="5">
                  <c:v>6月</c:v>
                </c:pt>
                <c:pt idx="6">
                  <c:v>7月</c:v>
                </c:pt>
                <c:pt idx="7">
                  <c:v>8月</c:v>
                </c:pt>
                <c:pt idx="8">
                  <c:v>9月</c:v>
                </c:pt>
              </c:strCache>
            </c:strRef>
          </c:cat>
          <c:val>
            <c:numRef>
              <c:f>Sheet1!$C$2:$C$10</c:f>
              <c:numCache>
                <c:formatCode>0.00_ </c:formatCode>
                <c:ptCount val="9"/>
                <c:pt idx="0">
                  <c:v>1.27</c:v>
                </c:pt>
                <c:pt idx="1">
                  <c:v>1.25</c:v>
                </c:pt>
                <c:pt idx="2">
                  <c:v>1.24</c:v>
                </c:pt>
                <c:pt idx="3">
                  <c:v>1.23</c:v>
                </c:pt>
                <c:pt idx="4">
                  <c:v>1.21</c:v>
                </c:pt>
                <c:pt idx="5">
                  <c:v>1.2</c:v>
                </c:pt>
                <c:pt idx="6">
                  <c:v>1.2</c:v>
                </c:pt>
                <c:pt idx="7">
                  <c:v>1.21</c:v>
                </c:pt>
                <c:pt idx="8">
                  <c:v>1.2</c:v>
                </c:pt>
              </c:numCache>
            </c:numRef>
          </c:val>
          <c:smooth val="0"/>
        </c:ser>
        <c:dLbls>
          <c:showLegendKey val="0"/>
          <c:showVal val="0"/>
          <c:showCatName val="0"/>
          <c:showSerName val="0"/>
          <c:showPercent val="0"/>
          <c:showBubbleSize val="0"/>
        </c:dLbls>
        <c:marker val="0"/>
        <c:smooth val="0"/>
        <c:axId val="152139264"/>
        <c:axId val="152140800"/>
      </c:lineChart>
      <c:catAx>
        <c:axId val="1521392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2140800"/>
        <c:crosses val="autoZero"/>
        <c:auto val="1"/>
        <c:lblAlgn val="ctr"/>
        <c:lblOffset val="100"/>
        <c:noMultiLvlLbl val="0"/>
      </c:catAx>
      <c:valAx>
        <c:axId val="1521408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2139264"/>
        <c:crosses val="autoZero"/>
        <c:crossBetween val="between"/>
      </c:valAx>
      <c:spPr>
        <a:noFill/>
        <a:ln w="25400">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1018</Words>
  <Characters>5804</Characters>
  <Lines>48</Lines>
  <Paragraphs>13</Paragraphs>
  <TotalTime>3600</TotalTime>
  <ScaleCrop>false</ScaleCrop>
  <LinksUpToDate>false</LinksUpToDate>
  <CharactersWithSpaces>6809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2020-03-24T01:17:00Z</dcterms:created>
  <dc:creator>User</dc:creator>
  <cp:lastModifiedBy>Icemaples</cp:lastModifiedBy>
  <dcterms:modified xsi:type="dcterms:W3CDTF">2021-10-25T05:32:42Z</dcterms:modified>
  <cp:revision>665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171D4A13876D476897728F2745F2B25A</vt:lpwstr>
  </property>
</Properties>
</file>