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60" w:after="260" w:line="224" w:lineRule="auto"/>
        <w:jc w:val="center"/>
        <w:textAlignment w:val="baseline"/>
        <w:rPr>
          <w:rStyle w:val="8"/>
          <w:rFonts w:ascii="Times New Roman" w:hAnsi="Times New Roman" w:cs="Times New Roman"/>
          <w:color w:val="auto"/>
          <w:lang w:eastAsia="zh-CN" w:bidi="ar"/>
        </w:rPr>
      </w:pPr>
      <w:r>
        <w:rPr>
          <w:rFonts w:ascii="Times New Roman" w:hAnsi="Times New Roman" w:eastAsia="宋体" w:cs="Times New Roman"/>
          <w:b/>
          <w:bCs/>
          <w:color w:val="auto"/>
          <w:sz w:val="36"/>
          <w:szCs w:val="36"/>
          <w:lang w:eastAsia="zh-CN" w:bidi="ar"/>
        </w:rPr>
        <w:t>2023</w:t>
      </w:r>
      <w:bookmarkStart w:id="0" w:name="_GoBack"/>
      <w:bookmarkEnd w:id="0"/>
      <w:r>
        <w:rPr>
          <w:rStyle w:val="8"/>
          <w:rFonts w:ascii="Times New Roman" w:hAnsi="Times New Roman" w:cs="Times New Roman"/>
          <w:color w:val="auto"/>
          <w:lang w:eastAsia="zh-CN" w:bidi="ar"/>
        </w:rPr>
        <w:t>年</w:t>
      </w:r>
      <w:r>
        <w:rPr>
          <w:rStyle w:val="8"/>
          <w:rFonts w:hint="eastAsia" w:ascii="Times New Roman" w:hAnsi="Times New Roman" w:cs="Times New Roman"/>
          <w:color w:val="auto"/>
          <w:lang w:val="en-US" w:eastAsia="zh-CN" w:bidi="ar"/>
        </w:rPr>
        <w:t>张家港</w:t>
      </w:r>
      <w:r>
        <w:rPr>
          <w:rStyle w:val="8"/>
          <w:rFonts w:ascii="Times New Roman" w:hAnsi="Times New Roman" w:cs="Times New Roman"/>
          <w:color w:val="auto"/>
          <w:lang w:eastAsia="zh-CN" w:bidi="ar"/>
        </w:rPr>
        <w:t>市政府性基金项目目录</w:t>
      </w:r>
    </w:p>
    <w:p>
      <w:pPr>
        <w:jc w:val="center"/>
        <w:textAlignment w:val="center"/>
        <w:rPr>
          <w:rStyle w:val="9"/>
          <w:rFonts w:ascii="Times New Roman" w:hAnsi="Times New Roman" w:cs="Times New Roman"/>
          <w:color w:val="auto"/>
          <w:lang w:eastAsia="zh-CN" w:bidi="ar"/>
        </w:rPr>
      </w:pPr>
    </w:p>
    <w:tbl>
      <w:tblPr>
        <w:tblStyle w:val="6"/>
        <w:tblW w:w="498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793"/>
        <w:gridCol w:w="3257"/>
        <w:gridCol w:w="4770"/>
        <w:gridCol w:w="33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2"/>
                <w:szCs w:val="22"/>
              </w:rPr>
            </w:pPr>
            <w:r>
              <w:rPr>
                <w:rStyle w:val="9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序号</w:t>
            </w:r>
          </w:p>
        </w:tc>
        <w:tc>
          <w:tcPr>
            <w:tcW w:w="6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2"/>
                <w:szCs w:val="22"/>
              </w:rPr>
            </w:pPr>
            <w:r>
              <w:rPr>
                <w:rStyle w:val="9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项目名称</w:t>
            </w:r>
          </w:p>
        </w:tc>
        <w:tc>
          <w:tcPr>
            <w:tcW w:w="11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2"/>
                <w:szCs w:val="22"/>
              </w:rPr>
            </w:pPr>
            <w:r>
              <w:rPr>
                <w:rStyle w:val="9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征收标准</w:t>
            </w:r>
          </w:p>
        </w:tc>
        <w:tc>
          <w:tcPr>
            <w:tcW w:w="17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Style w:val="9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收费及资金管理文件依据</w:t>
            </w:r>
          </w:p>
        </w:tc>
        <w:tc>
          <w:tcPr>
            <w:tcW w:w="12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2"/>
                <w:szCs w:val="22"/>
              </w:rPr>
            </w:pPr>
            <w:r>
              <w:rPr>
                <w:rStyle w:val="9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Style w:val="10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一、收入归属地方（或地方参与分成）的政府性基金项目（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color w:val="auto"/>
                <w:lang w:val="en-US" w:eastAsia="zh-CN" w:bidi="ar"/>
              </w:rPr>
              <w:t>7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项）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 w:bidi="ar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森林植被恢复费</w:t>
            </w:r>
          </w:p>
        </w:tc>
        <w:tc>
          <w:tcPr>
            <w:tcW w:w="11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 w:bidi="ar"/>
              </w:rPr>
              <w:t>区分使用林地情况，标准为</w:t>
            </w:r>
            <w:r>
              <w:rPr>
                <w:rStyle w:val="13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3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－</w:t>
            </w:r>
            <w:r>
              <w:rPr>
                <w:rStyle w:val="13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40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元</w:t>
            </w:r>
            <w:r>
              <w:rPr>
                <w:rStyle w:val="13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/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平方米。</w:t>
            </w:r>
          </w:p>
        </w:tc>
        <w:tc>
          <w:tcPr>
            <w:tcW w:w="17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 w:bidi="ar"/>
              </w:rPr>
              <w:t>《森林法》，苏农林〔1993〕03号、苏财综〔93〕5号、苏价费联〔1993〕4号，财综〔2002〕73号，苏财综〔2003〕13号，财税〔2015〕122号，苏财综〔2016〕20号</w:t>
            </w:r>
          </w:p>
        </w:tc>
        <w:tc>
          <w:tcPr>
            <w:tcW w:w="1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 w:bidi="ar"/>
              </w:rPr>
              <w:t>农村居民规定标准住宅、农村集体经济组织修建的公益性项目及保障性安居工程减免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 w:bidi="ar"/>
              </w:rP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水利建设基金</w:t>
            </w:r>
          </w:p>
        </w:tc>
        <w:tc>
          <w:tcPr>
            <w:tcW w:w="11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 w:bidi="ar"/>
              </w:rPr>
              <w:t>　</w:t>
            </w:r>
          </w:p>
        </w:tc>
        <w:tc>
          <w:tcPr>
            <w:tcW w:w="17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国发〔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1997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7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号，财综〔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2002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33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号，苏财综〔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2002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92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号，苏政发〔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2001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61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号，财综〔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2011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号，财综函〔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2011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33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号，财办综〔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2011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111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号，苏政发〔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2011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66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号，财税〔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2020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72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号、苏财综〔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2021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11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</w:t>
            </w:r>
          </w:p>
        </w:tc>
        <w:tc>
          <w:tcPr>
            <w:tcW w:w="1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 w:bidi="ar"/>
              </w:rPr>
              <w:t>　</w:t>
            </w:r>
          </w:p>
        </w:tc>
        <w:tc>
          <w:tcPr>
            <w:tcW w:w="6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Style w:val="13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(1)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按规定提取和安排</w:t>
            </w:r>
          </w:p>
        </w:tc>
        <w:tc>
          <w:tcPr>
            <w:tcW w:w="11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市、县水利建设基金的来源为：市、县收取的城市基础设施配套费提取3％，城建税中划出不少于15%用于城市防洪和水源工程建设，市县人民政府确定的政府性基金和行政事业性收费项目提取部分。</w:t>
            </w:r>
          </w:p>
        </w:tc>
        <w:tc>
          <w:tcPr>
            <w:tcW w:w="17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苏政发〔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2023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62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</w:t>
            </w:r>
          </w:p>
        </w:tc>
        <w:tc>
          <w:tcPr>
            <w:tcW w:w="1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6" w:hRule="atLeast"/>
        </w:trPr>
        <w:tc>
          <w:tcPr>
            <w:tcW w:w="2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 w:bidi="ar"/>
              </w:rPr>
              <w:t>　</w:t>
            </w:r>
          </w:p>
        </w:tc>
        <w:tc>
          <w:tcPr>
            <w:tcW w:w="6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Style w:val="13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(2)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农业重点开发建设资金</w:t>
            </w:r>
          </w:p>
        </w:tc>
        <w:tc>
          <w:tcPr>
            <w:tcW w:w="11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国家、集体、个人非农业建设新征(拨)占用土地时缴纳，2400元/亩。</w:t>
            </w:r>
          </w:p>
          <w:p>
            <w:pPr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扣除2%业务费、1%奖励后，省60%、市10%、县区30%。</w:t>
            </w:r>
          </w:p>
        </w:tc>
        <w:tc>
          <w:tcPr>
            <w:tcW w:w="17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 w:bidi="ar"/>
              </w:rPr>
              <w:t>苏政办发〔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1995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62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号，财综字〔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1998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143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号，苏财综〔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1999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90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号，苏政办发〔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2002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77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号、苏政发〔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2002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105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号，苏政办发〔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2002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115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号，苏政办发〔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2002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137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号，苏价费〔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2009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291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号、苏财综〔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2009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47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号，苏政发〔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2011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66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号，苏发改服价发〔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2018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1348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号，财税〔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2020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72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,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苏财综〔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2021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11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</w:t>
            </w:r>
          </w:p>
        </w:tc>
        <w:tc>
          <w:tcPr>
            <w:tcW w:w="1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 w:bidi="ar"/>
              </w:rPr>
              <w:t>中小学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(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含幼儿园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)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校舍安全工程建设免收。自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2021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年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月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日起继续征收，截止日期财政部另行明确。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7" w:hRule="atLeast"/>
        </w:trPr>
        <w:tc>
          <w:tcPr>
            <w:tcW w:w="2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 w:bidi="ar"/>
              </w:rPr>
              <w:t>3</w:t>
            </w: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文化事业建设费</w:t>
            </w:r>
          </w:p>
        </w:tc>
        <w:tc>
          <w:tcPr>
            <w:tcW w:w="11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 w:bidi="ar"/>
              </w:rPr>
              <w:t>各种营业性娱乐场所和广播电台、电视台和报纸、刊物等广告媒介单位以及户外广告经营单位营业收入的</w:t>
            </w:r>
            <w:r>
              <w:rPr>
                <w:rStyle w:val="13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3%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，营改增试点行业按提供增值税应税服务取得的销售额的</w:t>
            </w:r>
            <w:r>
              <w:rPr>
                <w:rStyle w:val="13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3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％计征。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省集中市县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20%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。</w:t>
            </w:r>
          </w:p>
        </w:tc>
        <w:tc>
          <w:tcPr>
            <w:tcW w:w="17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 w:bidi="ar"/>
              </w:rPr>
              <w:t>国发〔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1996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37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号，财税字〔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1997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95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号，国办发〔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2006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43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号，苏发〔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2001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14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号，苏发〔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2001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74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号，财综〔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2002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33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号，苏财综〔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2002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92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号，财综〔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2012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68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号，财综〔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2012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96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号，财综〔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2013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102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号，财税〔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2014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122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号、苏财综〔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2015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号，财税〔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2016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25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号、苏财综〔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2016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42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号，财税〔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2016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60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号、苏财综〔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2016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53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号，财税〔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2019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46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号、苏财综〔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2019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32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号，财政部、国家税务总局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2020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年第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25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号公告、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2021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年第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7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公告，苏政规〔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2023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</w:t>
            </w:r>
          </w:p>
        </w:tc>
        <w:tc>
          <w:tcPr>
            <w:tcW w:w="1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 w:bidi="ar"/>
              </w:rPr>
              <w:t>增值税小规模纳税人中月销售额不超过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万元（按季纳税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6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万元）的企业和非企业性单位提供的应税服务免征。自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2019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年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7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月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日至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2024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年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12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月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31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日，对归属中央和地方收入的文化事业建设费，统一按照缴纳义务人应缴费额的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50%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减征。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8" w:hRule="atLeast"/>
        </w:trPr>
        <w:tc>
          <w:tcPr>
            <w:tcW w:w="2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 w:bidi="ar"/>
              </w:rPr>
              <w:t>4</w:t>
            </w: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教育费附加</w:t>
            </w:r>
          </w:p>
        </w:tc>
        <w:tc>
          <w:tcPr>
            <w:tcW w:w="11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 w:bidi="ar"/>
              </w:rPr>
              <w:t>我市所有缴纳增值税、消费税的单位和个人实际缴纳额的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3%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。</w:t>
            </w:r>
          </w:p>
        </w:tc>
        <w:tc>
          <w:tcPr>
            <w:tcW w:w="17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 w:bidi="ar"/>
              </w:rPr>
              <w:t>《教育法》，国务院令第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60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号，国发〔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1986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50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号，中发〔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1993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3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号，国发〔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2010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35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号，苏发〔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1994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6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号，苏政发〔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1998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118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号，苏财综〔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2002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92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号，苏政发〔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2003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66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号，财综〔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2010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98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号、苏政发〔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2011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3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号，苏价服〔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2012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159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号，财税〔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2014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122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号、苏财综〔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2015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号，财税〔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2016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12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号、苏财综〔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2016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18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号，财税〔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2019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13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号，苏财税〔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2019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15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号，财税〔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2019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46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号、苏财综〔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2019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32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号，财政部、国家税务总局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2021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年第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30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号公告、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2022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年第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10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号公告，苏财税〔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2022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6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号，财综〔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2007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53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号，财综〔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2011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41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号，国办发〔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2011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45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号，财综〔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2012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5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号，财综〔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2012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99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号，苏政办发〔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2021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101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号，苏政规〔2023〕1号，苏政办规〔2023〕9号</w:t>
            </w:r>
          </w:p>
        </w:tc>
        <w:tc>
          <w:tcPr>
            <w:tcW w:w="1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 w:bidi="ar"/>
              </w:rPr>
              <w:t>保障性安居工程建设免收。自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2016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年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月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日起，纳税的月销售额或营业额不超过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10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万元（含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10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万元）以及按季纳税的季度销售额或营业额不超过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30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万元（含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30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万元）的缴纳义务人免征。自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2022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年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月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日至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2024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年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12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月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31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日，对增值税小规模纳税人、小型微利企业和个体工商户按照税额的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50%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减征。自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2019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年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月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日起，纳入产教融合型企业建设培育范围的试点企业，符合规定的，可按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30%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比例，抵免当年应缴教育费附加。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2" w:hRule="atLeast"/>
        </w:trPr>
        <w:tc>
          <w:tcPr>
            <w:tcW w:w="2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 w:bidi="ar"/>
              </w:rPr>
              <w:t>5</w:t>
            </w: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地方教育附加</w:t>
            </w:r>
          </w:p>
        </w:tc>
        <w:tc>
          <w:tcPr>
            <w:tcW w:w="11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 w:bidi="ar"/>
              </w:rPr>
              <w:t>我市所有缴纳增值税、消费税的单位和个人实际缴纳额的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2%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。</w:t>
            </w:r>
          </w:p>
        </w:tc>
        <w:tc>
          <w:tcPr>
            <w:tcW w:w="17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 w:bidi="ar"/>
              </w:rPr>
              <w:t>《教育法》，中发〔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1993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3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号，国发〔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1994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39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号，苏发〔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1994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6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号，财综〔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2001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58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号，苏政发〔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2002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105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号，财综函〔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2003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12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号，苏政发〔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2003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66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号、苏财综〔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2005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26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号，财综〔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2010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98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号、苏政发〔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2011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3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号，苏价服〔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2012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159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号，苏财综〔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2015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号，财税〔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2016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12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号、苏财综〔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2016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18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号，财税〔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2019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13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号，苏财税〔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2019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15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号，财税〔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2019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46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号、苏财综〔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2019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32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号，财政部、国家税务总局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2021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年第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30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号公告、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2022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年第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10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号公告，苏财税〔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2022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6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号，财综〔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2007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53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号，财综〔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2011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41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号，国办发〔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2011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45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号，财综〔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2012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5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号，财综〔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2012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99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号，苏政办发〔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2021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101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号，苏政规〔2023〕1号，苏政办规〔2023〕9号</w:t>
            </w:r>
          </w:p>
        </w:tc>
        <w:tc>
          <w:tcPr>
            <w:tcW w:w="1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在法律未作调整的情况下继续保留，保障性安居工程建设免收。自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2016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年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月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日起，纳税的月销售额或营业额不超过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10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万元（含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10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万元）以及按季纳税的季度销售额或营业额不超过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30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万元（含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30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万元）的缴纳义务人免征。自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2019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年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月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日至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2021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年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12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月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31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日，对增值税小规模纳税人按照税额的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50%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减征；自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2022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年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月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日至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2024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年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12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月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31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日，对增值税小规模纳税人、小型微利企业和个体工商户按照税额的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50%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减征。自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2019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年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月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日起，纳入产教融合型企业建设培育范围的试点企业，符合规定的，可按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30%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比例，抵免当年应缴地方教育附加。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9" w:hRule="atLeast"/>
        </w:trPr>
        <w:tc>
          <w:tcPr>
            <w:tcW w:w="2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 w:bidi="ar"/>
              </w:rPr>
              <w:t>6</w:t>
            </w: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 w:bidi="ar"/>
              </w:rPr>
              <w:t>残疾人就业保障金</w:t>
            </w:r>
          </w:p>
        </w:tc>
        <w:tc>
          <w:tcPr>
            <w:tcW w:w="11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保障金年缴纳额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=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（上年用人单位在职职工人数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×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规定的安排残疾人就业比例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-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上年用人单位实际安排的残疾人就业人数）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×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上年用人单位在职职工年平均工资。省集中市县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5%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。自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2020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年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月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日起至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2022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年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12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月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31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日，对安排残疾人就业比例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1%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（含）以上但低于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1.5%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的征缴单位，征收比例不高于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50%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；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1%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以下的征收比例不高于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90%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。</w:t>
            </w:r>
          </w:p>
        </w:tc>
        <w:tc>
          <w:tcPr>
            <w:tcW w:w="17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 w:bidi="ar"/>
              </w:rPr>
              <w:t>《残疾人保障法》，财综字〔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1995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5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号，省政府令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2023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年第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172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号，苏财综〔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1996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167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号、苏价费〔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1996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461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号、苏残劳〔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1996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16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号，财综〔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2001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16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号，苏财综〔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2002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号，财综〔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2002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33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号，苏财综〔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2002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92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号，苏地税发〔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2006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262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号，财税〔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2014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122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号、苏财综〔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2015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号，财税〔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2015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72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号，苏财综〔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2017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号，财税〔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2017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18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号、苏财综〔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2017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17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号，财税〔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2018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39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号、苏财综〔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2018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25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号，发改价格规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[2019]2015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号、苏发改收费发〔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2020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〕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438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号</w:t>
            </w:r>
          </w:p>
        </w:tc>
        <w:tc>
          <w:tcPr>
            <w:tcW w:w="1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征收标准上限为当地社会平均工资的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2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倍。在职职工人数在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30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人（含）以下的企业，暂免征收。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4" w:hRule="atLeast"/>
        </w:trPr>
        <w:tc>
          <w:tcPr>
            <w:tcW w:w="2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textAlignment w:val="center"/>
              <w:rPr>
                <w:rStyle w:val="12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  <w:t>7</w:t>
            </w:r>
          </w:p>
        </w:tc>
        <w:tc>
          <w:tcPr>
            <w:tcW w:w="6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Style w:val="12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 w:bidi="ar"/>
              </w:rPr>
              <w:t>城市基础设施配套费</w:t>
            </w:r>
          </w:p>
        </w:tc>
        <w:tc>
          <w:tcPr>
            <w:tcW w:w="11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textAlignment w:val="center"/>
              <w:rPr>
                <w:rStyle w:val="12"/>
                <w:rFonts w:hint="eastAsia" w:asciiTheme="minorEastAsia" w:hAnsiTheme="minorEastAsia" w:eastAsiaTheme="minorEastAsia" w:cstheme="minorEastAsia"/>
                <w:color w:val="auto"/>
                <w:lang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 w:bidi="ar"/>
              </w:rPr>
              <w:t>县城每平方米75元，中等城市90元，大城市105元。在建制镇规划区内进行各类工程建设的单位和沿街建筑的个人，每平方米20-50元。</w:t>
            </w:r>
          </w:p>
        </w:tc>
        <w:tc>
          <w:tcPr>
            <w:tcW w:w="17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 w:bidi="ar"/>
              </w:rPr>
              <w:t>财综函〔2002〕3号，苏政发〔1998〕48号，苏价费〔1998〕286号、苏财综〔1998〕135号，苏政发〔2002〕105号，苏价服〔2003〕115号、苏财综〔2003〕37号（镇江），苏财综〔2003〕24号（统一南京市收取办法），苏价服〔2006〕225号、苏财综〔2006〕42号，苏价服〔2006〕472号、苏财综〔2006〕97号，苏价涉〔1994〕76号、苏财综〔94〕66号，苏办发〔1996〕19号，苏价服〔2001〕377号，苏价服〔2004〕4号、苏财综〔2004〕1号，苏价费〔2009〕291号、苏财综〔2009〕47号，苏价服〔2012〕159号，苏价服〔2014〕49号，苏发改服价发〔2018〕1348号，财税〔2019〕53号，苏财综〔2019〕38号，财政部公告2019年第76号，财综〔2007〕53号，财综〔2011〕41号，国办发〔2011〕45号，财综〔2012〕5号，财综〔2012〕99号，苏政办发〔2021〕101号</w:t>
            </w:r>
          </w:p>
        </w:tc>
        <w:tc>
          <w:tcPr>
            <w:tcW w:w="12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 w:bidi="ar"/>
              </w:rPr>
              <w:t>对农民在建制镇规划区范围内建住房、中小学(含幼儿园)校舍安全工程、保障性安居工程建设免收。自2019年7月1日起，对易地扶贫搬迁项目免征。自2019年6月1日至2025年12月31日，用于提供社区养老、托育、家政服务的建设项目免征。</w:t>
            </w:r>
          </w:p>
        </w:tc>
      </w:tr>
    </w:tbl>
    <w:p>
      <w:pPr>
        <w:tabs>
          <w:tab w:val="left" w:pos="3475"/>
        </w:tabs>
        <w:rPr>
          <w:rStyle w:val="9"/>
          <w:rFonts w:hint="eastAsia" w:ascii="Times New Roman" w:hAnsi="Times New Roman" w:cs="Times New Roman"/>
          <w:color w:val="auto"/>
          <w:sz w:val="20"/>
          <w:szCs w:val="20"/>
          <w:lang w:eastAsia="zh-CN" w:bidi="ar"/>
        </w:rPr>
      </w:pPr>
    </w:p>
    <w:p>
      <w:pPr>
        <w:rPr>
          <w:color w:val="auto"/>
        </w:rPr>
      </w:pPr>
    </w:p>
    <w:sectPr>
      <w:footerReference r:id="rId3" w:type="default"/>
      <w:pgSz w:w="16840" w:h="11910" w:orient="landscape"/>
      <w:pgMar w:top="1599" w:right="1431" w:bottom="1460" w:left="1790" w:header="0" w:footer="1492" w:gutter="0"/>
      <w:pgNumType w:fmt="decimal"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rPr>
                              <w:rFonts w:hint="eastAsia" w:eastAsia="宋体"/>
                              <w:lang w:val="en-US" w:eastAsia="zh-CN"/>
                            </w:rPr>
                            <w:t>4</w:t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rPr>
                        <w:rFonts w:hint="eastAsia" w:eastAsia="宋体"/>
                        <w:lang w:val="en-US" w:eastAsia="zh-CN"/>
                      </w:rPr>
                      <w:t>4</w:t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lNDczMmIzMDFmMTZiNTMxMjM5MTE5ZDU1OTE2NmIifQ=="/>
  </w:docVars>
  <w:rsids>
    <w:rsidRoot w:val="00000000"/>
    <w:rsid w:val="0004613B"/>
    <w:rsid w:val="01F26EA1"/>
    <w:rsid w:val="02294DC2"/>
    <w:rsid w:val="0246544B"/>
    <w:rsid w:val="05871B00"/>
    <w:rsid w:val="076834B8"/>
    <w:rsid w:val="08C31148"/>
    <w:rsid w:val="0A0F245C"/>
    <w:rsid w:val="0A1D0183"/>
    <w:rsid w:val="0C75298C"/>
    <w:rsid w:val="0CD44149"/>
    <w:rsid w:val="0D62478D"/>
    <w:rsid w:val="0F78329E"/>
    <w:rsid w:val="103773C1"/>
    <w:rsid w:val="10B17FDB"/>
    <w:rsid w:val="11AD06CE"/>
    <w:rsid w:val="15FF6C66"/>
    <w:rsid w:val="16BA7043"/>
    <w:rsid w:val="17AE6030"/>
    <w:rsid w:val="192F00CE"/>
    <w:rsid w:val="1A7A1027"/>
    <w:rsid w:val="1C7225D0"/>
    <w:rsid w:val="1F072CD9"/>
    <w:rsid w:val="21ED1136"/>
    <w:rsid w:val="243A4F0C"/>
    <w:rsid w:val="250048AF"/>
    <w:rsid w:val="27B26FAE"/>
    <w:rsid w:val="2BA6408F"/>
    <w:rsid w:val="2D7E3A80"/>
    <w:rsid w:val="30646EBC"/>
    <w:rsid w:val="312075E2"/>
    <w:rsid w:val="36E866BB"/>
    <w:rsid w:val="38756529"/>
    <w:rsid w:val="38E12073"/>
    <w:rsid w:val="38E123BA"/>
    <w:rsid w:val="39DB31D8"/>
    <w:rsid w:val="3B726E7F"/>
    <w:rsid w:val="3CEF030E"/>
    <w:rsid w:val="3E713C45"/>
    <w:rsid w:val="3ECC1CC2"/>
    <w:rsid w:val="3F3B5CB1"/>
    <w:rsid w:val="3FB26C2E"/>
    <w:rsid w:val="402D46F6"/>
    <w:rsid w:val="40C33728"/>
    <w:rsid w:val="439614C1"/>
    <w:rsid w:val="45333BA3"/>
    <w:rsid w:val="46121CC2"/>
    <w:rsid w:val="46683C12"/>
    <w:rsid w:val="470E52AF"/>
    <w:rsid w:val="477466CD"/>
    <w:rsid w:val="4DE74A23"/>
    <w:rsid w:val="50E850A1"/>
    <w:rsid w:val="519B456B"/>
    <w:rsid w:val="527A33E4"/>
    <w:rsid w:val="539B0F8C"/>
    <w:rsid w:val="541F47CD"/>
    <w:rsid w:val="580D5D2D"/>
    <w:rsid w:val="59E17BCE"/>
    <w:rsid w:val="5B7F0FDC"/>
    <w:rsid w:val="5C4834B7"/>
    <w:rsid w:val="5C605EB5"/>
    <w:rsid w:val="5CCA7472"/>
    <w:rsid w:val="5D3774DA"/>
    <w:rsid w:val="601F50F3"/>
    <w:rsid w:val="60F80B29"/>
    <w:rsid w:val="62D11CDD"/>
    <w:rsid w:val="63C01CBD"/>
    <w:rsid w:val="64CB1391"/>
    <w:rsid w:val="669D12CA"/>
    <w:rsid w:val="67675E09"/>
    <w:rsid w:val="6A333C56"/>
    <w:rsid w:val="6CDF3FA6"/>
    <w:rsid w:val="6D89362F"/>
    <w:rsid w:val="727548D3"/>
    <w:rsid w:val="7345423F"/>
    <w:rsid w:val="76CB3A99"/>
    <w:rsid w:val="7803648D"/>
    <w:rsid w:val="7A89074C"/>
    <w:rsid w:val="7BCD7E9F"/>
    <w:rsid w:val="7D8C1F2E"/>
    <w:rsid w:val="7E6B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仿宋_GB2312" w:cs="宋体"/>
      <w:kern w:val="0"/>
      <w:sz w:val="24"/>
      <w:szCs w:val="24"/>
    </w:rPr>
  </w:style>
  <w:style w:type="character" w:customStyle="1" w:styleId="8">
    <w:name w:val="font131"/>
    <w:basedOn w:val="7"/>
    <w:qFormat/>
    <w:uiPriority w:val="0"/>
    <w:rPr>
      <w:rFonts w:ascii="黑体" w:hAnsi="宋体" w:eastAsia="黑体" w:cs="黑体"/>
      <w:b/>
      <w:bCs/>
      <w:color w:val="auto"/>
      <w:sz w:val="36"/>
      <w:szCs w:val="36"/>
      <w:u w:val="none"/>
    </w:rPr>
  </w:style>
  <w:style w:type="character" w:customStyle="1" w:styleId="9">
    <w:name w:val="font141"/>
    <w:basedOn w:val="7"/>
    <w:qFormat/>
    <w:uiPriority w:val="0"/>
    <w:rPr>
      <w:rFonts w:ascii="方正仿宋_GBK" w:hAnsi="方正仿宋_GBK" w:eastAsia="方正仿宋_GBK" w:cs="方正仿宋_GBK"/>
      <w:b/>
      <w:bCs/>
      <w:color w:val="auto"/>
      <w:sz w:val="22"/>
      <w:szCs w:val="22"/>
      <w:u w:val="none"/>
    </w:rPr>
  </w:style>
  <w:style w:type="character" w:customStyle="1" w:styleId="10">
    <w:name w:val="font151"/>
    <w:basedOn w:val="7"/>
    <w:qFormat/>
    <w:uiPriority w:val="0"/>
    <w:rPr>
      <w:rFonts w:hint="eastAsia" w:ascii="方正仿宋_GBK" w:hAnsi="方正仿宋_GBK" w:eastAsia="方正仿宋_GBK" w:cs="方正仿宋_GBK"/>
      <w:b/>
      <w:bCs/>
      <w:color w:val="auto"/>
      <w:sz w:val="20"/>
      <w:szCs w:val="20"/>
      <w:u w:val="none"/>
    </w:rPr>
  </w:style>
  <w:style w:type="character" w:customStyle="1" w:styleId="11">
    <w:name w:val="font51"/>
    <w:basedOn w:val="7"/>
    <w:qFormat/>
    <w:uiPriority w:val="0"/>
    <w:rPr>
      <w:rFonts w:hint="default" w:ascii="Times New Roman" w:hAnsi="Times New Roman" w:cs="Times New Roman"/>
      <w:b/>
      <w:bCs/>
      <w:color w:val="auto"/>
      <w:sz w:val="20"/>
      <w:szCs w:val="20"/>
      <w:u w:val="none"/>
    </w:rPr>
  </w:style>
  <w:style w:type="character" w:customStyle="1" w:styleId="12">
    <w:name w:val="font71"/>
    <w:basedOn w:val="7"/>
    <w:qFormat/>
    <w:uiPriority w:val="0"/>
    <w:rPr>
      <w:rFonts w:hint="eastAsia" w:ascii="方正仿宋_GBK" w:hAnsi="方正仿宋_GBK" w:eastAsia="方正仿宋_GBK" w:cs="方正仿宋_GBK"/>
      <w:color w:val="auto"/>
      <w:sz w:val="20"/>
      <w:szCs w:val="20"/>
      <w:u w:val="none"/>
    </w:rPr>
  </w:style>
  <w:style w:type="character" w:customStyle="1" w:styleId="13">
    <w:name w:val="font61"/>
    <w:basedOn w:val="7"/>
    <w:qFormat/>
    <w:uiPriority w:val="0"/>
    <w:rPr>
      <w:rFonts w:hint="default" w:ascii="Times New Roman" w:hAnsi="Times New Roman" w:cs="Times New Roman"/>
      <w:color w:val="auto"/>
      <w:sz w:val="20"/>
      <w:szCs w:val="20"/>
      <w:u w:val="none"/>
    </w:rPr>
  </w:style>
  <w:style w:type="character" w:customStyle="1" w:styleId="14">
    <w:name w:val="font161"/>
    <w:basedOn w:val="7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5">
    <w:name w:val="font11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6">
    <w:name w:val="font91"/>
    <w:basedOn w:val="7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7">
    <w:name w:val="font8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8">
    <w:name w:val="font101"/>
    <w:basedOn w:val="7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9">
    <w:name w:val="font171"/>
    <w:basedOn w:val="7"/>
    <w:qFormat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</w:rPr>
  </w:style>
  <w:style w:type="character" w:customStyle="1" w:styleId="20">
    <w:name w:val="Subtle Emphasis"/>
    <w:basedOn w:val="7"/>
    <w:qFormat/>
    <w:uiPriority w:val="99"/>
    <w:rPr>
      <w:i/>
      <w:iCs/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3375</Words>
  <Characters>4191</Characters>
  <Lines>0</Lines>
  <Paragraphs>0</Paragraphs>
  <TotalTime>79</TotalTime>
  <ScaleCrop>false</ScaleCrop>
  <LinksUpToDate>false</LinksUpToDate>
  <CharactersWithSpaces>4196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2024-04-29T06:37:00Z</dcterms:created>
  <dc:creator>User</dc:creator>
  <cp:lastModifiedBy>Admin</cp:lastModifiedBy>
  <cp:lastPrinted>2024-06-06T08:03:00Z</cp:lastPrinted>
  <dcterms:modified xsi:type="dcterms:W3CDTF">2024-06-11T05:17:24Z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04C8657E4CB7476785135A5C5B24942A_12</vt:lpwstr>
  </property>
</Properties>
</file>